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pPr>
      <w:r>
        <w:rPr>
          <w:color w:val="000000"/>
        </w:rPr>
        <w:t>November 22</w:t>
      </w:r>
      <w:r>
        <w:rPr>
          <w:b/>
          <w:bCs/>
          <w:color w:val="000000"/>
        </w:rPr>
        <w:t>,</w:t>
      </w:r>
      <w:r>
        <w:rPr>
          <w:color w:val="000000"/>
        </w:rPr>
        <w:t xml:space="preserve"> 2000</w:t>
      </w:r>
    </w:p>
    <w:p>
      <w:pPr>
        <w:pStyle w:val="Header"/>
        <w:widowControl/>
        <w:tabs>
          <w:tab w:val="clear" w:pos="4320"/>
          <w:tab w:val="clear" w:pos="8640"/>
        </w:tabs>
        <w:jc w:val="both"/>
        <w:rPr>
          <w:color w:val="000000"/>
        </w:rPr>
      </w:pPr>
      <w:r>
        <w:rPr>
          <w:color w:val="000000"/>
        </w:rPr>
      </w:r>
    </w:p>
    <w:p>
      <w:pPr>
        <w:pStyle w:val="Normal"/>
        <w:widowControl/>
        <w:jc w:val="both"/>
        <w:rPr>
          <w:color w:val="000000"/>
        </w:rPr>
      </w:pPr>
      <w:r>
        <w:rPr>
          <w:color w:val="000000"/>
        </w:rPr>
      </w:r>
    </w:p>
    <w:p>
      <w:pPr>
        <w:pStyle w:val="Heading3"/>
        <w:widowControl/>
        <w:ind w:hanging="0" w:start="0"/>
        <w:rPr/>
      </w:pPr>
      <w:r>
        <w:rPr/>
        <w:t>Advice 2057-E</w:t>
      </w:r>
    </w:p>
    <w:p>
      <w:pPr>
        <w:pStyle w:val="Normal"/>
        <w:widowControl/>
        <w:jc w:val="both"/>
        <w:rPr>
          <w:sz w:val="22"/>
          <w:szCs w:val="22"/>
        </w:rPr>
      </w:pPr>
      <w:r>
        <w:rPr>
          <w:sz w:val="22"/>
          <w:szCs w:val="22"/>
        </w:rPr>
        <w:t xml:space="preserve">(Pacific Gas and Electric Company ID U 39 </w:t>
      </w:r>
      <w:r>
        <w:rPr>
          <w:color w:val="000000"/>
          <w:sz w:val="22"/>
          <w:szCs w:val="22"/>
        </w:rPr>
        <w:t>E)</w:t>
      </w:r>
    </w:p>
    <w:p>
      <w:pPr>
        <w:pStyle w:val="Normal"/>
        <w:widowControl/>
        <w:jc w:val="both"/>
        <w:rPr>
          <w:sz w:val="22"/>
          <w:szCs w:val="22"/>
        </w:rPr>
      </w:pPr>
      <w:r>
        <w:rPr>
          <w:sz w:val="22"/>
          <w:szCs w:val="22"/>
        </w:rPr>
      </w:r>
    </w:p>
    <w:p>
      <w:pPr>
        <w:pStyle w:val="Normal"/>
        <w:widowControl/>
        <w:jc w:val="both"/>
        <w:rPr/>
      </w:pPr>
      <w:r>
        <w:rPr/>
      </w:r>
    </w:p>
    <w:p>
      <w:pPr>
        <w:pStyle w:val="Normal"/>
        <w:widowControl/>
        <w:jc w:val="both"/>
        <w:rPr/>
      </w:pPr>
      <w:r>
        <w:rPr/>
        <w:t>Public Utilities Commission of the State of California</w:t>
      </w:r>
    </w:p>
    <w:p>
      <w:pPr>
        <w:pStyle w:val="Normal"/>
        <w:widowControl/>
        <w:jc w:val="both"/>
        <w:rPr/>
      </w:pPr>
      <w:r>
        <w:rPr/>
      </w:r>
    </w:p>
    <w:p>
      <w:pPr>
        <w:pStyle w:val="Normal"/>
        <w:widowControl/>
        <w:jc w:val="both"/>
        <w:rPr>
          <w:color w:val="000000"/>
        </w:rPr>
      </w:pPr>
      <w:r>
        <w:rPr>
          <w:b/>
          <w:bCs/>
          <w:u w:val="single"/>
        </w:rPr>
        <w:t>Subject:</w:t>
      </w:r>
      <w:r>
        <w:rPr/>
        <w:t xml:space="preserve">  </w:t>
      </w:r>
      <w:r>
        <w:rPr>
          <w:b/>
          <w:bCs/>
        </w:rPr>
        <w:t>Post-Transition Electric Rates</w:t>
      </w:r>
    </w:p>
    <w:p>
      <w:pPr>
        <w:pStyle w:val="Normal"/>
        <w:widowControl/>
        <w:jc w:val="both"/>
        <w:rPr>
          <w:color w:val="000000"/>
        </w:rPr>
      </w:pPr>
      <w:r>
        <w:rPr>
          <w:color w:val="000000"/>
        </w:rPr>
      </w:r>
    </w:p>
    <w:p>
      <w:pPr>
        <w:pStyle w:val="Normal"/>
        <w:widowControl/>
        <w:jc w:val="both"/>
        <w:rPr/>
      </w:pPr>
      <w:r>
        <w:rPr/>
        <w:t>Pacific Gas and Electric Company (the Company) hereby submits for filing revisions to its electric tariffs. The affected tariff sheets are listed on the enclosed Attachment I.</w:t>
      </w:r>
    </w:p>
    <w:p>
      <w:pPr>
        <w:pStyle w:val="Normal"/>
        <w:widowControl/>
        <w:jc w:val="both"/>
        <w:rPr/>
      </w:pPr>
      <w:r>
        <w:rPr/>
      </w:r>
    </w:p>
    <w:p>
      <w:pPr>
        <w:pStyle w:val="Heading1"/>
        <w:widowControl/>
        <w:ind w:hanging="0" w:start="0"/>
        <w:jc w:val="both"/>
        <w:rPr/>
      </w:pPr>
      <w:r>
        <w:rPr/>
        <w:t>Purpose</w:t>
      </w:r>
    </w:p>
    <w:p>
      <w:pPr>
        <w:pStyle w:val="Normal"/>
        <w:widowControl/>
        <w:jc w:val="both"/>
        <w:rPr/>
      </w:pPr>
      <w:r>
        <w:rPr/>
      </w:r>
    </w:p>
    <w:p>
      <w:pPr>
        <w:pStyle w:val="Normal"/>
        <w:widowControl/>
        <w:jc w:val="both"/>
        <w:rPr/>
      </w:pPr>
      <w:r>
        <w:rPr/>
        <w:t>This advice letter implements revisions to all electric rate schedules and preliminary statements to change the Company’s rates and to bill customers now that the Assembly Bill (“AB”) 1890 rate freeze has ended.</w:t>
      </w:r>
      <w:r>
        <w:rPr>
          <w:rStyle w:val="FootnoteCharacters"/>
          <w:rStyle w:val="FootnoteReference"/>
        </w:rPr>
        <w:footnoteReference w:id="2"/>
      </w:r>
      <w:r>
        <w:rPr/>
        <w:t xml:space="preserve">  Based on accounting entries in its Transition Cost Balancing Account (TCBA), the Company completed recovery of its transition costs sometime before August 31, 2000, thus ending the rate freeze.</w:t>
      </w:r>
      <w:r>
        <w:rPr>
          <w:rStyle w:val="FootnoteCharacters"/>
          <w:rStyle w:val="FootnoteReference"/>
        </w:rPr>
        <w:footnoteReference w:id="3"/>
      </w:r>
      <w:r>
        <w:rPr/>
        <w:t xml:space="preserve">  This advice letter and tariff changes are filed in compliance with Decision (D.) 00-06-034, D. 00-03-058, and D. 99-10-057 in the Post-Transition Electric Ratemaking (PTER) proceeding (A. 99-01-016).</w:t>
      </w:r>
    </w:p>
    <w:p>
      <w:pPr>
        <w:pStyle w:val="Normal"/>
        <w:widowControl/>
        <w:jc w:val="both"/>
        <w:rPr/>
      </w:pPr>
      <w:r>
        <w:rPr/>
      </w:r>
    </w:p>
    <w:p>
      <w:pPr>
        <w:pStyle w:val="Heading1"/>
        <w:widowControl/>
        <w:ind w:hanging="0" w:start="0"/>
        <w:jc w:val="both"/>
        <w:rPr/>
      </w:pPr>
      <w:r>
        <w:rPr/>
        <w:t>Background</w:t>
      </w:r>
    </w:p>
    <w:p>
      <w:pPr>
        <w:pStyle w:val="Normal"/>
        <w:widowControl/>
        <w:jc w:val="both"/>
        <w:rPr/>
      </w:pPr>
      <w:r>
        <w:rPr/>
      </w:r>
    </w:p>
    <w:p>
      <w:pPr>
        <w:pStyle w:val="BodyText"/>
        <w:widowControl/>
        <w:rPr/>
      </w:pPr>
      <w:r>
        <w:rPr/>
        <w:t>Decisions 00-06-034, 00-03-058, and 99-10-057 required California utilities to file a matrix forecasting when the rate freeze was expected to end.  The decisions required the Company to file an advice letter with the Commission three months before the earliest forecasted date, containing draft preliminary statements for tariffs to go into effect after the rate freeze ends.  Decision 99-10-057 also required utilities to file a final advice letter five days after all conditions have been met to end the rate freeze.  Until recently, the matrix showed the rate freeze would end as early as the first quarter of 2001.  The sudden and unexpected high PX prices and the retained asset valuation this summer had a significant impact on the projected and actual rate freeze end date.  According to the most recently filed matrix dated November 6, 2000, the conditions for determining the end of the rate freeze have already occurred, and the rate freeze ended no later than the third quarter of 2000, at the currently recorded value estimated for remaining non-nuclear generation assets in accordance with the Commission decisions.  Thus, although the above referenced decisions contemplated tariff filings in advance of, and just after, the rate freeze ended, because of the circumstances described above, the Company submits this combined filing of both the preliminary and final advice letter in compliance with the above-referenced decisions after the rate freeze has ended.</w:t>
      </w:r>
    </w:p>
    <w:p>
      <w:pPr>
        <w:pStyle w:val="Normal"/>
        <w:widowControl/>
        <w:jc w:val="both"/>
        <w:rPr/>
      </w:pPr>
      <w:r>
        <w:rPr/>
      </w:r>
    </w:p>
    <w:p>
      <w:pPr>
        <w:pStyle w:val="Heading1"/>
        <w:widowControl/>
        <w:ind w:hanging="0" w:start="0"/>
        <w:jc w:val="both"/>
        <w:rPr/>
      </w:pPr>
      <w:r>
        <w:rPr/>
        <w:t xml:space="preserve">Preliminary Statement Revisions </w:t>
      </w:r>
    </w:p>
    <w:p>
      <w:pPr>
        <w:pStyle w:val="Normal"/>
        <w:widowControl/>
        <w:jc w:val="both"/>
        <w:rPr/>
      </w:pPr>
      <w:r>
        <w:rPr/>
      </w:r>
    </w:p>
    <w:p>
      <w:pPr>
        <w:pStyle w:val="Normal"/>
        <w:widowControl/>
        <w:jc w:val="both"/>
        <w:rPr/>
      </w:pPr>
      <w:r>
        <w:rPr/>
        <w:t>In compliance with the criteria and ratemaking mechanisms approved in D. 99-10-057, D. 00-03-058, and D. 00-06-034 to end the rate freeze, the Company hereby implements several regulatory accounting mechanisms, modifies the current TCBA, establishes rate components for certain existing accounts, and creates minor modifications to certain existing accounts.</w:t>
      </w:r>
    </w:p>
    <w:p>
      <w:pPr>
        <w:pStyle w:val="Normal"/>
        <w:widowControl/>
        <w:jc w:val="both"/>
        <w:rPr/>
      </w:pPr>
      <w:r>
        <w:rPr/>
      </w:r>
    </w:p>
    <w:p>
      <w:pPr>
        <w:pStyle w:val="Heading2"/>
        <w:widowControl/>
        <w:ind w:hanging="0" w:start="0"/>
        <w:jc w:val="both"/>
        <w:rPr>
          <w:u w:val="single"/>
        </w:rPr>
      </w:pPr>
      <w:r>
        <w:rPr>
          <w:u w:val="single"/>
        </w:rPr>
        <w:t>New Accounting Mechanisms</w:t>
      </w:r>
    </w:p>
    <w:p>
      <w:pPr>
        <w:pStyle w:val="Normal"/>
        <w:widowControl/>
        <w:jc w:val="both"/>
        <w:rPr>
          <w:u w:val="single"/>
        </w:rPr>
      </w:pPr>
      <w:r>
        <w:rPr>
          <w:u w:val="single"/>
        </w:rPr>
      </w:r>
    </w:p>
    <w:p>
      <w:pPr>
        <w:pStyle w:val="Normal"/>
        <w:widowControl/>
        <w:jc w:val="both"/>
        <w:rPr/>
      </w:pPr>
      <w:r>
        <w:rPr/>
        <w:t>As authorized in D.99-10-057, the Company hereby establishes new electric Preliminary Statement Part BW--</w:t>
      </w:r>
      <w:r>
        <w:rPr>
          <w:i/>
          <w:iCs/>
        </w:rPr>
        <w:t>Nuclear Decommissioning Adjustment Mechanism (NDAM)</w:t>
      </w:r>
      <w:r>
        <w:rPr/>
        <w:t>, Part BX--</w:t>
      </w:r>
      <w:r>
        <w:rPr>
          <w:i/>
          <w:iCs/>
        </w:rPr>
        <w:t>Public Purpose Programs Revenue Adjustment Mechanism (PPPRAM)</w:t>
      </w:r>
      <w:r>
        <w:rPr/>
        <w:t>, and Part BY--</w:t>
      </w:r>
      <w:r>
        <w:rPr>
          <w:i/>
          <w:iCs/>
        </w:rPr>
        <w:t>Purchased Electric Commodity Account (PECA)</w:t>
      </w:r>
      <w:r>
        <w:rPr/>
        <w:t>.  These new accounting mechanisms will record and recover the nuclear decommissioning and public purpose program authorized revenue requirements and purchased electric commodity costs that were recovered through electric Preliminary Statement Part N--</w:t>
      </w:r>
      <w:r>
        <w:rPr>
          <w:i/>
          <w:iCs/>
        </w:rPr>
        <w:t>Transition Revenue Account (TRA)</w:t>
      </w:r>
      <w:r>
        <w:rPr/>
        <w:t xml:space="preserve"> during the rate freeze.</w:t>
      </w:r>
    </w:p>
    <w:p>
      <w:pPr>
        <w:pStyle w:val="Normal"/>
        <w:widowControl/>
        <w:jc w:val="both"/>
        <w:rPr/>
      </w:pPr>
      <w:r>
        <w:rPr/>
      </w:r>
    </w:p>
    <w:p>
      <w:pPr>
        <w:pStyle w:val="Normal"/>
        <w:widowControl/>
        <w:jc w:val="both"/>
        <w:rPr/>
      </w:pPr>
      <w:r>
        <w:rPr/>
        <w:t>Also, the Company proposes to establish new electric Preliminary Statement Part CA--</w:t>
      </w:r>
      <w:r>
        <w:rPr>
          <w:i/>
          <w:iCs/>
        </w:rPr>
        <w:t>Distribution Revenue Adjustment Mechanism (DRAM).</w:t>
      </w:r>
      <w:r>
        <w:rPr/>
        <w:t xml:space="preserve"> D. 99-10-057 envisioned that the Company would be operating under a Performance Based Ratemaking (PBR) mechanism after the rate freeze ended and therefore contained no provisions for a revenue adjustment mechanism for distribution revenues.  Under a PBR, there would be no need for a DRAM, insofar as the incentive mechanisms inherent in the PBR would protect against under or over collection of revenues.  However, in D. 00-02-046, the Commission informed the Company it would not proceed with the PBR. (mimeo at p. 477)  The Commission further ordered the Company to file a new General Rate Case. (Ordering Paragraph 18)  The Commission then allowed the Company to withdraw its PBR application. (D. 00-06-058). In light of these circumstances, the Company proposes to create a DRAM.  The creation of the DRAM is consistent with the Commission’s traditional ratemaking practices and best implements the Commission’s intent in D. 99-10-057.</w:t>
      </w:r>
    </w:p>
    <w:p>
      <w:pPr>
        <w:pStyle w:val="Normal"/>
        <w:widowControl/>
        <w:jc w:val="both"/>
        <w:rPr/>
      </w:pPr>
      <w:r>
        <w:rPr/>
      </w:r>
    </w:p>
    <w:p>
      <w:pPr>
        <w:pStyle w:val="Normal"/>
        <w:widowControl/>
        <w:jc w:val="both"/>
        <w:rPr/>
      </w:pPr>
      <w:r>
        <w:rPr/>
        <w:t>In addition, the company proposes to establish a new electric Preliminary Statement Part BZ--</w:t>
      </w:r>
      <w:r>
        <w:rPr>
          <w:i/>
          <w:iCs/>
        </w:rPr>
        <w:t>Unrecovered Cost of Service Account (UCSA),</w:t>
      </w:r>
      <w:r>
        <w:rPr/>
        <w:t xml:space="preserve"> which includes entries to transfer any unrecovered balances in the TRA to the UCSA.  The TRA is revised to include entries to transfer the TRA balance to the UCSA. The unrecovered TRA balance transfers to the UCSA will occur on the date the end-of-freeze tariffs and rates in this filing are effective.</w:t>
      </w:r>
      <w:r>
        <w:rPr>
          <w:rStyle w:val="FootnoteCharacters"/>
          <w:rStyle w:val="FootnoteReference"/>
        </w:rPr>
        <w:footnoteReference w:id="4"/>
      </w:r>
    </w:p>
    <w:p>
      <w:pPr>
        <w:pStyle w:val="Normal"/>
        <w:widowControl/>
        <w:jc w:val="both"/>
        <w:rPr/>
      </w:pPr>
      <w:r>
        <w:rPr/>
      </w:r>
    </w:p>
    <w:p>
      <w:pPr>
        <w:pStyle w:val="Heading2"/>
        <w:widowControl/>
        <w:ind w:hanging="0" w:start="0"/>
        <w:jc w:val="both"/>
        <w:rPr>
          <w:u w:val="single"/>
        </w:rPr>
      </w:pPr>
      <w:r>
        <w:rPr>
          <w:u w:val="single"/>
        </w:rPr>
        <w:t>Modification to the Current TCBA</w:t>
      </w:r>
    </w:p>
    <w:p>
      <w:pPr>
        <w:pStyle w:val="Normal"/>
        <w:widowControl/>
        <w:jc w:val="both"/>
        <w:rPr>
          <w:u w:val="single"/>
        </w:rPr>
      </w:pPr>
      <w:r>
        <w:rPr>
          <w:u w:val="single"/>
        </w:rPr>
      </w:r>
    </w:p>
    <w:p>
      <w:pPr>
        <w:pStyle w:val="Normal"/>
        <w:widowControl/>
        <w:jc w:val="both"/>
        <w:rPr/>
      </w:pPr>
      <w:r>
        <w:rPr/>
        <w:t>As authorized in D. 99-10-057, the Company has revised and renamed the current TCBA tariff electric Preliminary Statement Part AV--</w:t>
      </w:r>
      <w:r>
        <w:rPr>
          <w:i/>
          <w:iCs/>
        </w:rPr>
        <w:t>Modified Transition Cost Balancing Account (Modified TCBA)</w:t>
      </w:r>
      <w:r>
        <w:rPr/>
        <w:t>, to account for transition costs eligible for recovery in the post-transition period.  The Company’s Modified TCBA includes a Competition Transition Charge (CTC) Revenues Section and a Post-Transition Costs Section that consists of four subaccounts: Renewables Program Funding Costs Subaccount, Employee Transition Costs Subaccount, Qualifying Facilities (QF) Subaccount, and Other Power Purchase Agreements (PPA) Subaccount.</w:t>
      </w:r>
    </w:p>
    <w:p>
      <w:pPr>
        <w:pStyle w:val="Normal"/>
        <w:widowControl/>
        <w:jc w:val="both"/>
        <w:rPr/>
      </w:pPr>
      <w:r>
        <w:rPr/>
      </w:r>
    </w:p>
    <w:p>
      <w:pPr>
        <w:pStyle w:val="Heading2"/>
        <w:widowControl/>
        <w:ind w:hanging="0" w:start="0"/>
        <w:jc w:val="both"/>
        <w:rPr>
          <w:u w:val="single"/>
        </w:rPr>
      </w:pPr>
      <w:r>
        <w:rPr>
          <w:u w:val="single"/>
        </w:rPr>
        <w:t>New Rate Components</w:t>
      </w:r>
    </w:p>
    <w:p>
      <w:pPr>
        <w:pStyle w:val="Normal"/>
        <w:widowControl/>
        <w:jc w:val="both"/>
        <w:rPr>
          <w:u w:val="single"/>
        </w:rPr>
      </w:pPr>
      <w:r>
        <w:rPr>
          <w:u w:val="single"/>
        </w:rPr>
      </w:r>
    </w:p>
    <w:p>
      <w:pPr>
        <w:pStyle w:val="Normal"/>
        <w:widowControl/>
        <w:jc w:val="both"/>
        <w:rPr/>
      </w:pPr>
      <w:r>
        <w:rPr/>
        <w:t>The distribution rate includes new rate components associated with the DRAM, described above, and electric Preliminary Statement Part S--</w:t>
      </w:r>
      <w:r>
        <w:rPr>
          <w:i/>
          <w:iCs/>
        </w:rPr>
        <w:t>Hazardous Substance Mechanism (HSM)</w:t>
      </w:r>
      <w:r>
        <w:rPr/>
        <w:t>, Part Z–</w:t>
      </w:r>
      <w:r>
        <w:rPr>
          <w:i/>
          <w:iCs/>
        </w:rPr>
        <w:t>Electric Vehicle Balancing Account (EVBA),</w:t>
      </w:r>
      <w:r>
        <w:rPr/>
        <w:t xml:space="preserve"> and Part BF–</w:t>
      </w:r>
      <w:r>
        <w:rPr>
          <w:i/>
          <w:iCs/>
        </w:rPr>
        <w:t>Streamlining Residual Account (SRA)</w:t>
      </w:r>
      <w:r>
        <w:rPr/>
        <w:t>.  D. 99-10-057 adopted separate rate components for the HSM, EVBA and SRA.  D. 99-10-057 also adopted a separate account and rate component for electric Preliminary Statement Part AT–</w:t>
      </w:r>
      <w:r>
        <w:rPr>
          <w:i/>
          <w:iCs/>
        </w:rPr>
        <w:t>Rate Reduction Bond Memorandum Account (RRBMA)</w:t>
      </w:r>
      <w:r>
        <w:rPr/>
        <w:t>,  During the rate freeze, the balances in the HSM, EVBA, and SRA were transferred to the TRA for recovery as part of the distribution rate component.  In the post-freeze period with the TRA eliminated, and lacking a PBR mechanism, balances in these accounts will be included in authorized distribution revenue and will have separate rate components for cost recovery as provided in electric Preliminary Statement Part I–</w:t>
      </w:r>
      <w:r>
        <w:rPr>
          <w:i/>
          <w:iCs/>
        </w:rPr>
        <w:t xml:space="preserve">Rate Schedule Summary. </w:t>
      </w:r>
    </w:p>
    <w:p>
      <w:pPr>
        <w:pStyle w:val="Normal"/>
        <w:widowControl/>
        <w:jc w:val="both"/>
        <w:rPr/>
      </w:pPr>
      <w:r>
        <w:rPr/>
      </w:r>
    </w:p>
    <w:p>
      <w:pPr>
        <w:pStyle w:val="Heading2"/>
        <w:widowControl/>
        <w:ind w:hanging="0" w:start="0"/>
        <w:jc w:val="both"/>
        <w:rPr>
          <w:u w:val="single"/>
        </w:rPr>
      </w:pPr>
      <w:r>
        <w:rPr>
          <w:u w:val="single"/>
        </w:rPr>
        <w:t>Minor Modifications to Current Accounts</w:t>
      </w:r>
    </w:p>
    <w:p>
      <w:pPr>
        <w:pStyle w:val="Normal"/>
        <w:widowControl/>
        <w:jc w:val="both"/>
        <w:rPr>
          <w:u w:val="single"/>
        </w:rPr>
      </w:pPr>
      <w:r>
        <w:rPr>
          <w:u w:val="single"/>
        </w:rPr>
      </w:r>
    </w:p>
    <w:p>
      <w:pPr>
        <w:pStyle w:val="Normal"/>
        <w:widowControl/>
        <w:jc w:val="both"/>
        <w:rPr/>
      </w:pPr>
      <w:r>
        <w:rPr/>
        <w:t>Consistent with the directives of the PTER decisions, minor modifications have been made to certain TCBA-related and TRA-related accounts as shown on the tariff sheets included in Attachment I.</w:t>
      </w:r>
    </w:p>
    <w:p>
      <w:pPr>
        <w:pStyle w:val="Normal"/>
        <w:widowControl/>
        <w:jc w:val="both"/>
        <w:rPr/>
      </w:pPr>
      <w:r>
        <w:rPr/>
      </w:r>
    </w:p>
    <w:p>
      <w:pPr>
        <w:pStyle w:val="Heading4"/>
        <w:ind w:hanging="0" w:start="0"/>
        <w:rPr/>
      </w:pPr>
      <w:r>
        <w:rPr/>
        <w:t>Treatment Of Retained Generation Revenues</w:t>
      </w:r>
    </w:p>
    <w:p>
      <w:pPr>
        <w:pStyle w:val="Normal"/>
        <w:widowControl/>
        <w:jc w:val="both"/>
        <w:rPr/>
      </w:pPr>
      <w:r>
        <w:rPr/>
      </w:r>
    </w:p>
    <w:p>
      <w:pPr>
        <w:pStyle w:val="Normal"/>
        <w:widowControl/>
        <w:jc w:val="both"/>
        <w:rPr/>
      </w:pPr>
      <w:r>
        <w:rPr/>
        <w:t>Under the Diablo Canyon ratemaking mechanism pursuant to Commission Decisions 99-10-057 (mimeo at p. 25) and 00-03-058 (mimeo at p. 5), from the date the rate freeze ends, the Company and the ratepayers share the benefits of Diablo Canyon Power Plant (DCPP) power plant operations. The Company proposes that the ratepayer portion of the DCPP net revenues be recorded in the UCSA and that DCPP earnings above current ICIP prices be deferred for later recovery consistent with the Company’s pending A.00-06-046 as modified by the Company’s Rate Stabilization Plan, filed concurrently with these tariffs.</w:t>
      </w:r>
      <w:r>
        <w:rPr>
          <w:rStyle w:val="FootnoteCharacters"/>
          <w:rStyle w:val="FootnoteReference"/>
        </w:rPr>
        <w:footnoteReference w:id="5"/>
      </w:r>
    </w:p>
    <w:p>
      <w:pPr>
        <w:pStyle w:val="Normal"/>
        <w:widowControl/>
        <w:jc w:val="both"/>
        <w:rPr/>
      </w:pPr>
      <w:r>
        <w:rPr/>
      </w:r>
    </w:p>
    <w:p>
      <w:pPr>
        <w:pStyle w:val="Normal"/>
        <w:widowControl/>
        <w:jc w:val="both"/>
        <w:rPr/>
      </w:pPr>
      <w:r>
        <w:rPr/>
        <w:t>Under current ratemaking, once the rate freeze ends, the Company’s retained non-nuclear generation must compete in the marketplace. (D.00-03-058; Public Utilities Code §216(h)). Thus, no post-freeze revenue requirement is included in retail rates, and market revenues are assigned to shareholders. Pending a final decision regarding the market valuation of the Company’s hydroelectric generating facilities in A. 99-09-053 and subject to any changes adopted by the Company’s Rate Stabilization Plan, the Company proposes that 90 percent of the market revenues from its hydroelectric facilities above cost of service based on a $2.8 billion valuation be deferred and credited against the UCSA balance, subject to later recovery.</w:t>
      </w:r>
    </w:p>
    <w:p>
      <w:pPr>
        <w:pStyle w:val="Normal"/>
        <w:widowControl/>
        <w:jc w:val="both"/>
        <w:rPr/>
      </w:pPr>
      <w:r>
        <w:rPr/>
      </w:r>
    </w:p>
    <w:p>
      <w:pPr>
        <w:pStyle w:val="Heading1"/>
        <w:widowControl/>
        <w:ind w:hanging="0" w:start="0"/>
        <w:jc w:val="both"/>
        <w:rPr/>
      </w:pPr>
      <w:r>
        <w:rPr/>
        <w:t>Rate Schedule Revisions</w:t>
      </w:r>
    </w:p>
    <w:p>
      <w:pPr>
        <w:pStyle w:val="Normal"/>
        <w:widowControl/>
        <w:jc w:val="both"/>
        <w:rPr/>
      </w:pPr>
      <w:r>
        <w:rPr/>
      </w:r>
    </w:p>
    <w:p>
      <w:pPr>
        <w:pStyle w:val="Normal"/>
        <w:widowControl/>
        <w:jc w:val="both"/>
        <w:rPr/>
      </w:pPr>
      <w:r>
        <w:rPr/>
        <w:t>Rate schedule revisions include rate and text changes. Rate changes are generally based on adopted revenue requirements, and revenue allocation and rate design principles that have been adopted in other proceedings. The rates derived from the revenue allocation and rate design proposals contained in the tariffs in this filing are current as of the date of this filing.  The Company will update rates as necessary to address any further changes in revenue requirements.</w:t>
      </w:r>
    </w:p>
    <w:p>
      <w:pPr>
        <w:pStyle w:val="Normal"/>
        <w:widowControl/>
        <w:jc w:val="both"/>
        <w:rPr/>
      </w:pPr>
      <w:r>
        <w:rPr/>
      </w:r>
    </w:p>
    <w:p>
      <w:pPr>
        <w:pStyle w:val="Header"/>
        <w:widowControl/>
        <w:tabs>
          <w:tab w:val="clear" w:pos="4320"/>
          <w:tab w:val="clear" w:pos="8640"/>
        </w:tabs>
        <w:jc w:val="both"/>
        <w:rPr/>
      </w:pPr>
      <w:r>
        <w:rPr/>
        <w:t>The Company has used the revenue requirements from appropriate Commission decisions for setting 2001 post-freeze rates.  In cases where a decision is still pending for test year 2001 (</w:t>
      </w:r>
      <w:r>
        <w:rPr>
          <w:i/>
          <w:iCs/>
        </w:rPr>
        <w:t>e.g</w:t>
      </w:r>
      <w:r>
        <w:rPr/>
        <w:t>., for the 2001 Cost of Capital proceeding (A. 00-05-013), the most recently authorized revenue requirements were used. The Company also proposes revenue requirements for the UCSA and ongoing CTC, which includes employee-related transition costs, QF costs, and other PPA costs.</w:t>
      </w:r>
    </w:p>
    <w:p>
      <w:pPr>
        <w:pStyle w:val="Header"/>
        <w:widowControl/>
        <w:tabs>
          <w:tab w:val="clear" w:pos="4320"/>
          <w:tab w:val="clear" w:pos="8640"/>
        </w:tabs>
        <w:jc w:val="both"/>
        <w:rPr/>
      </w:pPr>
      <w:r>
        <w:rPr/>
      </w:r>
    </w:p>
    <w:p>
      <w:pPr>
        <w:pStyle w:val="Header"/>
        <w:widowControl/>
        <w:tabs>
          <w:tab w:val="clear" w:pos="4320"/>
          <w:tab w:val="clear" w:pos="8640"/>
        </w:tabs>
        <w:jc w:val="both"/>
        <w:rPr/>
      </w:pPr>
      <w:r>
        <w:rPr/>
        <w:t>Attachment II describes the methods used to establish the rates based on these revenue requirements. Changes to the Company’s rate schedules are described below.</w:t>
      </w:r>
    </w:p>
    <w:p>
      <w:pPr>
        <w:pStyle w:val="Header"/>
        <w:widowControl/>
        <w:tabs>
          <w:tab w:val="clear" w:pos="4320"/>
          <w:tab w:val="clear" w:pos="8640"/>
        </w:tabs>
        <w:jc w:val="both"/>
        <w:rPr/>
      </w:pPr>
      <w:r>
        <w:rPr/>
      </w:r>
    </w:p>
    <w:p>
      <w:pPr>
        <w:pStyle w:val="Heading2"/>
        <w:widowControl/>
        <w:ind w:hanging="0" w:start="0"/>
        <w:jc w:val="both"/>
        <w:rPr>
          <w:u w:val="single"/>
        </w:rPr>
      </w:pPr>
      <w:r>
        <w:rPr>
          <w:u w:val="single"/>
        </w:rPr>
        <w:t>General Rate Schedule Changes</w:t>
      </w:r>
    </w:p>
    <w:p>
      <w:pPr>
        <w:pStyle w:val="Header"/>
        <w:widowControl/>
        <w:tabs>
          <w:tab w:val="clear" w:pos="4320"/>
          <w:tab w:val="clear" w:pos="8640"/>
        </w:tabs>
        <w:jc w:val="both"/>
        <w:rPr>
          <w:u w:val="single"/>
        </w:rPr>
      </w:pPr>
      <w:r>
        <w:rPr>
          <w:u w:val="single"/>
        </w:rPr>
      </w:r>
    </w:p>
    <w:p>
      <w:pPr>
        <w:pStyle w:val="Header"/>
        <w:widowControl/>
        <w:tabs>
          <w:tab w:val="clear" w:pos="4320"/>
          <w:tab w:val="clear" w:pos="8640"/>
        </w:tabs>
        <w:jc w:val="both"/>
        <w:rPr/>
      </w:pPr>
      <w:r>
        <w:rPr/>
        <w:t>Rate tables in each rate schedule are revised to show the Company’s rates.  Changes were made to the tables to accommodate additional columns including the CTC component, USCA, and the Rate Reduction Bond (RRB) Memorandum Account Rate.  Other changes are in the form of abbreviating or shortening table descriptions or headings.  Rate tables now reflect only non-commodity rates.  A paragraph is added to each rate schedule restating each non-commodity rate function and indicating that the rates shown do not include commodity prices.</w:t>
      </w:r>
    </w:p>
    <w:p>
      <w:pPr>
        <w:pStyle w:val="Header"/>
        <w:widowControl/>
        <w:tabs>
          <w:tab w:val="clear" w:pos="4320"/>
          <w:tab w:val="clear" w:pos="8640"/>
        </w:tabs>
        <w:jc w:val="both"/>
        <w:rPr/>
      </w:pPr>
      <w:r>
        <w:rPr/>
      </w:r>
    </w:p>
    <w:p>
      <w:pPr>
        <w:pStyle w:val="Header"/>
        <w:widowControl/>
        <w:tabs>
          <w:tab w:val="clear" w:pos="4320"/>
          <w:tab w:val="clear" w:pos="8640"/>
        </w:tabs>
        <w:jc w:val="both"/>
        <w:rPr/>
      </w:pPr>
      <w:r>
        <w:rPr/>
        <w:t>In the Billing section of each rate schedule, the definitions of bundled, direct access, and the hourly pricing option (HPO) are revised.  The bundled service definition is revised to indicate that a bundled bill is based on the sum of commodity and non-commodity charges.  The direct access service definition is revised to indicate that a direct access bill is based on non-commodity charges plus the Franchise Fee Surcharge.</w:t>
      </w:r>
      <w:r>
        <w:rPr>
          <w:rStyle w:val="FootnoteCharacters"/>
          <w:rStyle w:val="FootnoteReference"/>
          <w:sz w:val="24"/>
          <w:szCs w:val="24"/>
        </w:rPr>
        <w:footnoteReference w:id="6"/>
      </w:r>
      <w:r>
        <w:rPr/>
        <w:t xml:space="preserve">  The HPO service definition is revised to indicate that the bundled charge consists of the non-commodity charges and the commodity charges determined on an hourly basis.  The definition of HPO is also revised to reflect the mandatory nature of this option where the customer is billed using an interval meter.</w:t>
      </w:r>
    </w:p>
    <w:p>
      <w:pPr>
        <w:pStyle w:val="Header"/>
        <w:widowControl/>
        <w:tabs>
          <w:tab w:val="clear" w:pos="4320"/>
          <w:tab w:val="clear" w:pos="8640"/>
        </w:tabs>
        <w:jc w:val="both"/>
        <w:rPr/>
      </w:pPr>
      <w:r>
        <w:rPr/>
      </w:r>
    </w:p>
    <w:p>
      <w:pPr>
        <w:pStyle w:val="Header"/>
        <w:widowControl/>
        <w:tabs>
          <w:tab w:val="clear" w:pos="4320"/>
          <w:tab w:val="clear" w:pos="8640"/>
        </w:tabs>
        <w:jc w:val="both"/>
        <w:rPr/>
      </w:pPr>
      <w:r>
        <w:rPr/>
        <w:t>In the Rate Reduction Bond section of each applicable rate schedule, the 10 percent discount has been deleted and references to the Rate Reduction Bond Memorandum Account Rate have been added.</w:t>
      </w:r>
    </w:p>
    <w:p>
      <w:pPr>
        <w:pStyle w:val="Header"/>
        <w:widowControl/>
        <w:tabs>
          <w:tab w:val="clear" w:pos="4320"/>
          <w:tab w:val="clear" w:pos="8640"/>
        </w:tabs>
        <w:jc w:val="both"/>
        <w:rPr/>
      </w:pPr>
      <w:r>
        <w:rPr/>
      </w:r>
    </w:p>
    <w:p>
      <w:pPr>
        <w:pStyle w:val="Heading2"/>
        <w:widowControl/>
        <w:ind w:hanging="0" w:start="0"/>
        <w:jc w:val="both"/>
        <w:rPr>
          <w:u w:val="single"/>
        </w:rPr>
      </w:pPr>
      <w:r>
        <w:rPr>
          <w:u w:val="single"/>
        </w:rPr>
        <w:t>Residential Tariff Changes</w:t>
      </w:r>
    </w:p>
    <w:p>
      <w:pPr>
        <w:pStyle w:val="Header"/>
        <w:widowControl/>
        <w:tabs>
          <w:tab w:val="clear" w:pos="4320"/>
          <w:tab w:val="clear" w:pos="8640"/>
        </w:tabs>
        <w:jc w:val="both"/>
        <w:rPr>
          <w:u w:val="single"/>
        </w:rPr>
      </w:pPr>
      <w:r>
        <w:rPr>
          <w:u w:val="single"/>
        </w:rPr>
      </w:r>
    </w:p>
    <w:p>
      <w:pPr>
        <w:pStyle w:val="Header"/>
        <w:widowControl/>
        <w:tabs>
          <w:tab w:val="clear" w:pos="4320"/>
          <w:tab w:val="clear" w:pos="8640"/>
        </w:tabs>
        <w:jc w:val="both"/>
        <w:rPr/>
      </w:pPr>
      <w:r>
        <w:rPr/>
        <w:t>The key components of changes to residential rate schedules are as follows:</w:t>
      </w:r>
    </w:p>
    <w:p>
      <w:pPr>
        <w:pStyle w:val="Header"/>
        <w:widowControl/>
        <w:tabs>
          <w:tab w:val="clear" w:pos="4320"/>
          <w:tab w:val="clear" w:pos="8640"/>
        </w:tabs>
        <w:jc w:val="both"/>
        <w:rPr/>
      </w:pPr>
      <w:r>
        <w:rPr/>
      </w:r>
    </w:p>
    <w:p>
      <w:pPr>
        <w:pStyle w:val="Header"/>
        <w:widowControl/>
        <w:numPr>
          <w:ilvl w:val="0"/>
          <w:numId w:val="2"/>
        </w:numPr>
        <w:tabs>
          <w:tab w:val="clear" w:pos="4320"/>
          <w:tab w:val="clear" w:pos="8640"/>
          <w:tab w:val="left" w:pos="0" w:leader="none"/>
          <w:tab w:val="left" w:pos="360" w:leader="none"/>
          <w:tab w:val="left" w:pos="1080" w:leader="none"/>
        </w:tabs>
        <w:ind w:hanging="720" w:start="1800" w:end="0"/>
        <w:jc w:val="both"/>
        <w:rPr/>
      </w:pPr>
      <w:r>
        <w:rPr/>
        <w:t xml:space="preserve">Describe how the minimum charge is applied. </w:t>
      </w:r>
    </w:p>
    <w:p>
      <w:pPr>
        <w:pStyle w:val="Header"/>
        <w:widowControl/>
        <w:numPr>
          <w:ilvl w:val="0"/>
          <w:numId w:val="2"/>
        </w:numPr>
        <w:tabs>
          <w:tab w:val="clear" w:pos="4320"/>
          <w:tab w:val="clear" w:pos="8640"/>
          <w:tab w:val="left" w:pos="0" w:leader="none"/>
          <w:tab w:val="left" w:pos="360" w:leader="none"/>
          <w:tab w:val="left" w:pos="1080" w:leader="none"/>
        </w:tabs>
        <w:ind w:hanging="720" w:start="1800" w:end="0"/>
        <w:jc w:val="both"/>
        <w:rPr/>
      </w:pPr>
      <w:r>
        <w:rPr/>
        <w:t>Revise CARE rate schedules to describe that the discount would include 15 percent of the actual billed commodity charges.  This change is described in greater detail in Attachment II.</w:t>
      </w:r>
    </w:p>
    <w:p>
      <w:pPr>
        <w:pStyle w:val="Header"/>
        <w:widowControl/>
        <w:numPr>
          <w:ilvl w:val="0"/>
          <w:numId w:val="2"/>
        </w:numPr>
        <w:tabs>
          <w:tab w:val="clear" w:pos="4320"/>
          <w:tab w:val="clear" w:pos="8640"/>
          <w:tab w:val="left" w:pos="0" w:leader="none"/>
          <w:tab w:val="left" w:pos="360" w:leader="none"/>
          <w:tab w:val="left" w:pos="1080" w:leader="none"/>
        </w:tabs>
        <w:ind w:hanging="360" w:start="1800" w:end="0"/>
        <w:jc w:val="both"/>
        <w:rPr/>
      </w:pPr>
      <w:r>
        <w:rPr/>
        <w:t>Revise the Minimum Average Rate Limiter (MARL) to be a variable rate based on the applicable non-commodity charges and either the commodity charge (for bundled service) or the Franchise Fee Surcharge (for direct access customers).</w:t>
      </w:r>
    </w:p>
    <w:p>
      <w:pPr>
        <w:pStyle w:val="Header"/>
        <w:widowControl/>
        <w:tabs>
          <w:tab w:val="clear" w:pos="4320"/>
          <w:tab w:val="clear" w:pos="8640"/>
        </w:tabs>
        <w:jc w:val="both"/>
        <w:rPr/>
      </w:pPr>
      <w:r>
        <w:rPr/>
      </w:r>
    </w:p>
    <w:p>
      <w:pPr>
        <w:pStyle w:val="Heading2"/>
        <w:widowControl/>
        <w:ind w:hanging="0" w:start="0"/>
        <w:jc w:val="both"/>
        <w:rPr>
          <w:u w:val="single"/>
        </w:rPr>
      </w:pPr>
      <w:r>
        <w:rPr>
          <w:u w:val="single"/>
        </w:rPr>
        <w:t>Commercial/Industrial Tariff Changes</w:t>
      </w:r>
    </w:p>
    <w:p>
      <w:pPr>
        <w:pStyle w:val="Header"/>
        <w:widowControl/>
        <w:tabs>
          <w:tab w:val="clear" w:pos="4320"/>
          <w:tab w:val="clear" w:pos="8640"/>
        </w:tabs>
        <w:jc w:val="both"/>
        <w:rPr>
          <w:u w:val="single"/>
        </w:rPr>
      </w:pPr>
      <w:r>
        <w:rPr>
          <w:u w:val="single"/>
        </w:rPr>
      </w:r>
    </w:p>
    <w:p>
      <w:pPr>
        <w:pStyle w:val="Header"/>
        <w:widowControl/>
        <w:tabs>
          <w:tab w:val="clear" w:pos="4320"/>
          <w:tab w:val="clear" w:pos="8640"/>
        </w:tabs>
        <w:jc w:val="both"/>
        <w:rPr/>
      </w:pPr>
      <w:r>
        <w:rPr/>
        <w:t>The key components of changes to commercial/industrial rate schedules are as follows:</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the power factor adjustment provisions to clarify that these calculations are based on the bundled bill, and that power factor adjustments are allocated to distribution.</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Delete the economic stimulus rate (ESR), consistent with D. 00-06-066.</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the average and peak rate limiter provisions of Schedules E-19, E-20 and E-25 to base the calculation on non-commodity charges only, and to assign rate limiter shortfall to distribution.</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long-term contract provisions of Schedules E-19 and E-20 to assign the discount to distribution.</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the Optional Optimal Billing Period Service provisions of Schedules E-19 and E-20 to apply both the credit and the associated customer charge to distribution.</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Schedule ED to remove references to the direct access credit and to clarify that the discount is based on a bundled bill calculation which is not to exceed distribution charges.</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Schedule AG-8, E-TD and E-TD (i) to clarify that the discount is to be calculated as a percentage of bundled charges.  This change is necessary to avoid the burdensome process of changing each contract’s discount percentage monthly due to the monthly change in commodity pricing.</w:t>
      </w:r>
    </w:p>
    <w:p>
      <w:pPr>
        <w:pStyle w:val="Header"/>
        <w:widowControl/>
        <w:numPr>
          <w:ilvl w:val="0"/>
          <w:numId w:val="3"/>
        </w:numPr>
        <w:tabs>
          <w:tab w:val="clear" w:pos="4320"/>
          <w:tab w:val="clear" w:pos="8640"/>
          <w:tab w:val="left" w:pos="0" w:leader="none"/>
          <w:tab w:val="left" w:pos="360" w:leader="none"/>
          <w:tab w:val="left" w:pos="1080" w:leader="none"/>
        </w:tabs>
        <w:ind w:hanging="720" w:start="1800" w:end="0"/>
        <w:jc w:val="both"/>
        <w:rPr/>
      </w:pPr>
      <w:r>
        <w:rPr/>
        <w:t>Revise Schedule A-RTP to provide greater consistency with commodity pricing in the post-freeze period as described more completely in Attachment II.</w:t>
      </w:r>
    </w:p>
    <w:p>
      <w:pPr>
        <w:pStyle w:val="Header"/>
        <w:widowControl/>
        <w:numPr>
          <w:ilvl w:val="0"/>
          <w:numId w:val="3"/>
        </w:numPr>
        <w:tabs>
          <w:tab w:val="clear" w:pos="4320"/>
          <w:tab w:val="clear" w:pos="8640"/>
          <w:tab w:val="left" w:pos="0" w:leader="none"/>
          <w:tab w:val="left" w:pos="360" w:leader="none"/>
          <w:tab w:val="left" w:pos="1080" w:leader="none"/>
        </w:tabs>
        <w:ind w:hanging="360" w:start="1800" w:end="0"/>
        <w:jc w:val="both"/>
        <w:rPr/>
      </w:pPr>
      <w:r>
        <w:rPr/>
        <w:t xml:space="preserve">Revise Schedule A-10 service voltage definition to be consistent with other commercial rate schedules. (This change is “cleanup” in nature.). </w:t>
      </w:r>
    </w:p>
    <w:p>
      <w:pPr>
        <w:pStyle w:val="Header"/>
        <w:widowControl/>
        <w:tabs>
          <w:tab w:val="clear" w:pos="4320"/>
          <w:tab w:val="clear" w:pos="8640"/>
        </w:tabs>
        <w:jc w:val="both"/>
        <w:rPr/>
      </w:pPr>
      <w:r>
        <w:rPr/>
      </w:r>
    </w:p>
    <w:p>
      <w:pPr>
        <w:pStyle w:val="Heading2"/>
        <w:widowControl/>
        <w:ind w:hanging="0" w:start="0"/>
        <w:jc w:val="both"/>
        <w:rPr>
          <w:u w:val="single"/>
        </w:rPr>
      </w:pPr>
      <w:r>
        <w:rPr>
          <w:u w:val="single"/>
        </w:rPr>
        <w:t>Miscellaneous Tariff Changes</w:t>
      </w:r>
    </w:p>
    <w:p>
      <w:pPr>
        <w:pStyle w:val="Header"/>
        <w:widowControl/>
        <w:tabs>
          <w:tab w:val="clear" w:pos="4320"/>
          <w:tab w:val="clear" w:pos="8640"/>
        </w:tabs>
        <w:jc w:val="both"/>
        <w:rPr>
          <w:u w:val="single"/>
        </w:rPr>
      </w:pPr>
      <w:r>
        <w:rPr>
          <w:u w:val="single"/>
        </w:rPr>
      </w:r>
    </w:p>
    <w:p>
      <w:pPr>
        <w:pStyle w:val="Header"/>
        <w:widowControl/>
        <w:tabs>
          <w:tab w:val="clear" w:pos="4320"/>
          <w:tab w:val="clear" w:pos="8640"/>
        </w:tabs>
        <w:jc w:val="both"/>
        <w:rPr/>
      </w:pPr>
      <w:r>
        <w:rPr/>
        <w:t>Other rates schedules were revised as follows:</w:t>
      </w:r>
    </w:p>
    <w:p>
      <w:pPr>
        <w:pStyle w:val="Header"/>
        <w:widowControl/>
        <w:tabs>
          <w:tab w:val="clear" w:pos="4320"/>
          <w:tab w:val="clear" w:pos="8640"/>
        </w:tabs>
        <w:jc w:val="both"/>
        <w:rPr/>
      </w:pPr>
      <w:r>
        <w:rPr/>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Revise Schedules LS-1, LS-2 and OL-1 so charges are based on monthly changes in commodity costs.</w:t>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Revise the Agricultural Demand Charge Limiter to encompass only non-commodity charges.</w:t>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 xml:space="preserve">Delete the Agricultural Diesel Alternative Power (DAP) and the Gas Alternative Power (GAP) options based on the existing tariff language that would have resulted in the termination of these options the later of April 1, 1996, or the effective date of the CPUC’s decision in Phase 2 of the Company’s 1996 GRC, which was issued December 3, 1997. (D. 97-12-044).  </w:t>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Revise Schedule AG-7 to revise the proration factor for tiering from 30.4 to 30.0. This change was approved and implemented per Commission approval of Advice 1867-E, effective July 1, 1999.  This item is “cleanup” in nature.</w:t>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Revise Schedule PX to add the Purchased Electric Commodity t Account (PECA) adjustment rate consistent with creation of the PECA balancing account.  The PECA adjustment rate replaces both the real-time settlement adjustment and the post-settlement adjustment.</w:t>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Revise Schedule PX to include franchise fee requirements for bundled and direct access customers consistent with D. 00-06-066, and add the franchise fee factor adopted in D. 00-02-046.</w:t>
      </w:r>
      <w:r>
        <w:rPr>
          <w:rStyle w:val="FootnoteCharacters"/>
          <w:rStyle w:val="FootnoteReference"/>
          <w:sz w:val="24"/>
          <w:szCs w:val="24"/>
        </w:rPr>
        <w:footnoteReference w:id="7"/>
      </w:r>
    </w:p>
    <w:p>
      <w:pPr>
        <w:pStyle w:val="Header"/>
        <w:widowControl/>
        <w:numPr>
          <w:ilvl w:val="0"/>
          <w:numId w:val="4"/>
        </w:numPr>
        <w:tabs>
          <w:tab w:val="clear" w:pos="4320"/>
          <w:tab w:val="clear" w:pos="8640"/>
          <w:tab w:val="left" w:pos="0" w:leader="none"/>
          <w:tab w:val="left" w:pos="360" w:leader="none"/>
          <w:tab w:val="left" w:pos="1080" w:leader="none"/>
        </w:tabs>
        <w:ind w:hanging="720" w:start="1800" w:end="0"/>
        <w:jc w:val="both"/>
        <w:rPr/>
      </w:pPr>
      <w:r>
        <w:rPr/>
        <w:t>Revise Rate Schedules E-DEPART and E-EXEMPT to include the termination provisions proposed in Advice Letter 2043-E which is still pending Commission approval.  These changes have been added to this filing to ensure the schedules do not terminate prematurely.</w:t>
      </w:r>
    </w:p>
    <w:p>
      <w:pPr>
        <w:pStyle w:val="Header"/>
        <w:widowControl/>
        <w:numPr>
          <w:ilvl w:val="0"/>
          <w:numId w:val="4"/>
        </w:numPr>
        <w:tabs>
          <w:tab w:val="clear" w:pos="4320"/>
          <w:tab w:val="clear" w:pos="8640"/>
          <w:tab w:val="left" w:pos="0" w:leader="none"/>
          <w:tab w:val="left" w:pos="360" w:leader="none"/>
          <w:tab w:val="left" w:pos="1080" w:leader="none"/>
        </w:tabs>
        <w:ind w:hanging="360" w:start="1800" w:end="0"/>
        <w:jc w:val="both"/>
        <w:rPr/>
      </w:pPr>
      <w:r>
        <w:rPr/>
        <w:t>Revise Schedule E-DEPART to include USCA charges.</w:t>
      </w:r>
    </w:p>
    <w:p>
      <w:pPr>
        <w:pStyle w:val="Header"/>
        <w:widowControl/>
        <w:tabs>
          <w:tab w:val="clear" w:pos="4320"/>
          <w:tab w:val="clear" w:pos="8640"/>
        </w:tabs>
        <w:jc w:val="both"/>
        <w:rPr/>
      </w:pPr>
      <w:r>
        <w:rPr/>
      </w:r>
    </w:p>
    <w:p>
      <w:pPr>
        <w:pStyle w:val="Heading1"/>
        <w:widowControl/>
        <w:ind w:hanging="0" w:start="0"/>
        <w:jc w:val="both"/>
        <w:rPr/>
      </w:pPr>
      <w:r>
        <w:rPr/>
        <w:t>Bill Presentation</w:t>
      </w:r>
    </w:p>
    <w:p>
      <w:pPr>
        <w:pStyle w:val="Heading1"/>
        <w:widowControl/>
        <w:ind w:hanging="0" w:start="0"/>
        <w:jc w:val="both"/>
        <w:rPr>
          <w:b w:val="false"/>
          <w:bCs w:val="false"/>
        </w:rPr>
      </w:pPr>
      <w:r>
        <w:rPr>
          <w:b w:val="false"/>
          <w:bCs w:val="false"/>
        </w:rPr>
      </w:r>
    </w:p>
    <w:p>
      <w:pPr>
        <w:pStyle w:val="Normal"/>
        <w:widowControl/>
        <w:jc w:val="both"/>
        <w:rPr/>
      </w:pPr>
      <w:r>
        <w:rPr/>
        <w:t>Bill samples are enclosed with this filing as Attachment III.  The format reflected in these samples would take effect when these tariffs are implemented. The Company has provided a sample format for a residential bundled service customer, a residential direct access customer and the back-of-bill including definitions of terms.  The following changes are made to the bill format:</w:t>
      </w:r>
    </w:p>
    <w:p>
      <w:pPr>
        <w:pStyle w:val="Normal"/>
        <w:widowControl/>
        <w:jc w:val="both"/>
        <w:rPr/>
      </w:pPr>
      <w:r>
        <w:rPr/>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Delete the legislated 10 percent Rate Reduction Bond Discount.</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Delete the PX credit line for direct access customers and add the Franchise Fee Surcharge.</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Add the Rate Reduction Bond Memorandum Account Rate.</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Delete the “Net Charges Box” and simply total all charges.</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Separate charges into three groups: Delivery Charges, State Mandated Charges and Energy Charges.</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Add definitions for Rate Reduction Bond Memorandum Account Rate and the Electric Franchise Fee Surcharge.</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Delete the definition of Direct Access Energy Credit and the Legislated 10 percent Rate Reduction.</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 xml:space="preserve">Revise definitions for Competition Transition Charges, Trust Transfer Amount, and Electric Energy Charge. </w:t>
      </w:r>
    </w:p>
    <w:p>
      <w:pPr>
        <w:pStyle w:val="Normal"/>
        <w:widowControl/>
        <w:numPr>
          <w:ilvl w:val="0"/>
          <w:numId w:val="5"/>
        </w:numPr>
        <w:tabs>
          <w:tab w:val="clear" w:pos="720"/>
          <w:tab w:val="left" w:pos="0" w:leader="none"/>
          <w:tab w:val="left" w:pos="360" w:leader="none"/>
          <w:tab w:val="left" w:pos="1080" w:leader="none"/>
        </w:tabs>
        <w:ind w:hanging="720" w:start="1800" w:end="0"/>
        <w:jc w:val="both"/>
        <w:rPr/>
      </w:pPr>
      <w:r>
        <w:rPr/>
        <w:t>Revise the definition of CTC to include the UCSA charges.</w:t>
      </w:r>
    </w:p>
    <w:p>
      <w:pPr>
        <w:pStyle w:val="Normal"/>
        <w:widowControl/>
        <w:numPr>
          <w:ilvl w:val="0"/>
          <w:numId w:val="5"/>
        </w:numPr>
        <w:tabs>
          <w:tab w:val="clear" w:pos="720"/>
          <w:tab w:val="left" w:pos="0" w:leader="none"/>
          <w:tab w:val="left" w:pos="360" w:leader="none"/>
          <w:tab w:val="left" w:pos="1080" w:leader="none"/>
        </w:tabs>
        <w:ind w:hanging="360" w:start="1800" w:end="0"/>
        <w:jc w:val="both"/>
        <w:rPr/>
      </w:pPr>
      <w:r>
        <w:rPr/>
        <w:t>Footnotes and bill messages have been added or modified to describe the Electric Energy Charge and the Average Energy Price.</w:t>
      </w:r>
    </w:p>
    <w:p>
      <w:pPr>
        <w:pStyle w:val="Normal"/>
        <w:widowControl/>
        <w:jc w:val="both"/>
        <w:rPr/>
      </w:pPr>
      <w:r>
        <w:rPr/>
      </w:r>
    </w:p>
    <w:p>
      <w:pPr>
        <w:pStyle w:val="Normal"/>
        <w:widowControl/>
        <w:jc w:val="both"/>
        <w:rPr/>
      </w:pPr>
      <w:r>
        <w:rPr/>
        <w:t>The format reflected in the enclosed samples would update the bill formats approved by the Commission in response to Advice 2205-G/1957-E dated January 18, 2000, which included a comprehensive set of revised bill formats for all rate schedules.  Upon approval of the enclosed formats, the Company would file a conforming advice letter with a comprehensive set of revised bill formats consistent with those submitted in Advice 2005-G/1957-E.  Pending such a filing, additional sample bill formats for nonresidential rate schedules are available upon request.</w:t>
      </w:r>
    </w:p>
    <w:p>
      <w:pPr>
        <w:pStyle w:val="Heading1"/>
        <w:widowControl/>
        <w:ind w:hanging="0" w:start="0"/>
        <w:jc w:val="both"/>
        <w:rPr>
          <w:b w:val="false"/>
          <w:bCs w:val="false"/>
        </w:rPr>
      </w:pPr>
      <w:r>
        <w:rPr>
          <w:b w:val="false"/>
          <w:bCs w:val="false"/>
        </w:rPr>
      </w:r>
    </w:p>
    <w:p>
      <w:pPr>
        <w:pStyle w:val="Heading1"/>
        <w:widowControl/>
        <w:ind w:hanging="0" w:start="0"/>
        <w:jc w:val="both"/>
        <w:rPr/>
      </w:pPr>
      <w:r>
        <w:rPr/>
        <w:t>Effective Date</w:t>
      </w:r>
    </w:p>
    <w:p>
      <w:pPr>
        <w:pStyle w:val="Normal"/>
        <w:widowControl/>
        <w:jc w:val="both"/>
        <w:rPr/>
      </w:pPr>
      <w:r>
        <w:rPr/>
      </w:r>
    </w:p>
    <w:p>
      <w:pPr>
        <w:pStyle w:val="Normal"/>
        <w:widowControl/>
        <w:jc w:val="both"/>
        <w:rPr/>
      </w:pPr>
      <w:r>
        <w:rPr/>
        <w:t xml:space="preserve">Pursuant to Ordering Paragraph 1 of D. 99-10-057, this advice letter shall become effective within 30 days of filing, subject to the Energy Division determining that this filing is in compliance with D.99-10-057 and subsequent decisions.  Because this advice letter combines both the preliminary and final tariff review contemplated by D.99-10-057, it is being served on the parties to A. 99-010-016 and A. 99-03-014 so that such parties have an opportunity to file informal comments during the period of Energy Division review and prior to the effective date.  The Company requests that this advice filing be effective on </w:t>
      </w:r>
      <w:r>
        <w:rPr>
          <w:b/>
          <w:bCs/>
        </w:rPr>
        <w:t>January 1, 2001</w:t>
      </w:r>
      <w:r>
        <w:rPr/>
        <w:t xml:space="preserve">, unless superceded by Commission interim approval of the Company’s rate stabilization plan filed concurrently with this advice filing.  While January 1, 2001 is later than the 30 days set forth Ordering Paragraph 1 of D. 99-10-057, the Company proposes this effective date for administrative convenience. </w:t>
      </w:r>
    </w:p>
    <w:p>
      <w:pPr>
        <w:pStyle w:val="Normal"/>
        <w:widowControl/>
        <w:jc w:val="both"/>
        <w:rPr/>
      </w:pPr>
      <w:r>
        <w:rPr/>
      </w:r>
    </w:p>
    <w:p>
      <w:pPr>
        <w:pStyle w:val="Heading2"/>
        <w:widowControl/>
        <w:ind w:hanging="0" w:start="0"/>
        <w:jc w:val="both"/>
        <w:rPr>
          <w:u w:val="single"/>
        </w:rPr>
      </w:pPr>
      <w:r>
        <w:rPr>
          <w:u w:val="single"/>
        </w:rPr>
        <w:t>Notice</w:t>
      </w:r>
    </w:p>
    <w:p>
      <w:pPr>
        <w:pStyle w:val="Normal"/>
        <w:widowControl/>
        <w:jc w:val="both"/>
        <w:rPr>
          <w:u w:val="single"/>
        </w:rPr>
      </w:pPr>
      <w:r>
        <w:rPr>
          <w:u w:val="single"/>
        </w:rPr>
      </w:r>
    </w:p>
    <w:p>
      <w:pPr>
        <w:pStyle w:val="BodyText"/>
        <w:widowControl/>
        <w:rPr/>
      </w:pPr>
      <w:r>
        <w:rPr/>
        <w:t>In accordance with Section III, Paragraph G, of General Order 96-A, a copy of this advice letter is being sent electronically and via U.S. mail to parties shown on the attached list, and the service list for A. 99-010-016 and 99-03-014.  Workpapers and sample bill forms are not included with this filing, but are available upon request to Nel Avendano at (415) 973-3529. Address changes also should be directed to Ms. Avendano at (415) 973-3529.</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Vice President - Regulatory Relations</w:t>
      </w:r>
    </w:p>
    <w:p>
      <w:pPr>
        <w:pStyle w:val="Normal"/>
        <w:widowControl/>
        <w:jc w:val="both"/>
        <w:rPr/>
      </w:pPr>
      <w:r>
        <w:rPr/>
      </w:r>
    </w:p>
    <w:p>
      <w:pPr>
        <w:pStyle w:val="Normal"/>
        <w:widowControl/>
        <w:jc w:val="both"/>
        <w:rPr/>
      </w:pPr>
      <w:r>
        <w:rPr/>
      </w:r>
    </w:p>
    <w:p>
      <w:pPr>
        <w:pStyle w:val="Normal"/>
        <w:widowControl/>
        <w:jc w:val="both"/>
        <w:rPr/>
      </w:pPr>
      <w:r>
        <w:rPr/>
        <w:t>Attachments</w:t>
      </w:r>
    </w:p>
    <w:p>
      <w:pPr>
        <w:pStyle w:val="Normal"/>
        <w:widowControl/>
        <w:jc w:val="both"/>
        <w:rPr/>
      </w:pPr>
      <w:r>
        <w:rPr/>
      </w:r>
    </w:p>
    <w:p>
      <w:pPr>
        <w:pStyle w:val="Normal"/>
        <w:widowControl/>
        <w:jc w:val="both"/>
        <w:rPr/>
      </w:pPr>
      <w:r>
        <w:rPr/>
      </w:r>
    </w:p>
    <w:p>
      <w:pPr>
        <w:pStyle w:val="Normal"/>
        <w:widowControl/>
        <w:jc w:val="both"/>
        <w:rPr/>
      </w:pPr>
      <w:r>
        <w:rPr/>
        <w:t xml:space="preserve">cc: </w:t>
        <w:tab/>
        <w:t>Service List - A. 99-010-016 / A. 99-03-014</w:t>
      </w:r>
    </w:p>
    <w:sectPr>
      <w:headerReference w:type="default" r:id="rId2"/>
      <w:headerReference w:type="first" r:id="rId3"/>
      <w:footnotePr>
        <w:numFmt w:val="decimal"/>
      </w:footnotePr>
      <w:type w:val="nextPage"/>
      <w:pgSz w:w="12240" w:h="15840"/>
      <w:pgMar w:left="1728" w:right="1728"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As used in AB 1890 and this advice letter, “rate freeze” denotes the period that ends on the date transition costs are fully recovered or the date specified in the statute, whichever date occurs first.  (Public Utilities Code 368(a)).</w:t>
      </w:r>
    </w:p>
  </w:footnote>
  <w:footnote w:id="3">
    <w:p>
      <w:pPr>
        <w:pStyle w:val="FootnoteText"/>
        <w:jc w:val="both"/>
        <w:rPr/>
      </w:pPr>
      <w:r>
        <w:rPr>
          <w:rStyle w:val="FootnoteCharacters"/>
        </w:rPr>
        <w:footnoteRef/>
      </w:r>
      <w:r>
        <w:rPr/>
        <w:t xml:space="preserve"> </w:t>
      </w:r>
      <w:r>
        <w:rPr/>
        <w:t>The August date for ending the rate freeze is based on the valuation of the Company’s retained hydro assets of $2.8 billion as included in the Company’s Generation Asset Balancing Account (“GABA”) filing effective June 23, 2000 as filed in Advice Letters 2048-E and 2049-E, dated October 26, 2000.  Based on current market conditions, the Company believes the actual value will be determined to be higher than $2.8 billion.  If this is the case, the rate freeze will have ended earlier and the tariffs contained herein will be revised.  If the actual value of such generation is lawfully determined to be lower, the Company will not seek recovery of any resulting undercollected CTC.</w:t>
      </w:r>
    </w:p>
  </w:footnote>
  <w:footnote w:id="4">
    <w:p>
      <w:pPr>
        <w:pStyle w:val="FootnoteText"/>
        <w:jc w:val="both"/>
        <w:rPr/>
      </w:pPr>
      <w:r>
        <w:rPr>
          <w:rStyle w:val="FootnoteCharacters"/>
        </w:rPr>
        <w:footnoteRef/>
      </w:r>
      <w:r>
        <w:rPr/>
        <w:t xml:space="preserve"> </w:t>
      </w:r>
      <w:r>
        <w:rPr/>
        <w:t xml:space="preserve">D.00-06-034, Ordering Paragraph 16, required the Company to propose a method for how to true-up the amounts collected, should the new rates not go into effect on the precise day the rate freeze ended.  The Company was to make this proposal in the first post-freeze Annual Transition Cost Proceeding.  In fact, the rate freeze ended months before these rates will go into effect.  The UCSA is the account necessary to accomplish this true-up and the Company includes herein an initial rate component to true-up the accounts based on the effect of its current market valuation of remaining non-nuclear generation assets on the date the rate freeze ended.  The Company has requested that the Commission revise its PTER decisions regarding the amount of undercollected TRA costs that may be recovered post-freeze.  (See Emergency Petition for Modification, October 4, 2000.)  In addition, the Company believes it is likely that further evidence required to be submitted in its hydroelectric valuation proceeding pending before the Commission will result in a determination of a higher market valuation of its hydroelectric assets.  If either proceeding results in changes to the true-up of the accounts subject to these tariffs, the Company will file revised tariffs at that time to reflect the changes. </w:t>
      </w:r>
    </w:p>
  </w:footnote>
  <w:footnote w:id="5">
    <w:p>
      <w:pPr>
        <w:pStyle w:val="FootnoteText"/>
        <w:rPr/>
      </w:pPr>
      <w:r>
        <w:rPr>
          <w:rStyle w:val="FootnoteCharacters"/>
        </w:rPr>
        <w:footnoteRef/>
      </w:r>
      <w:r>
        <w:rPr/>
        <w:t xml:space="preserve"> </w:t>
      </w:r>
      <w:r>
        <w:rPr/>
        <w:t>The Company’s proposal for implementing Diablo Canyon benefit sharing is pending in A.00-06-046.</w:t>
      </w:r>
    </w:p>
  </w:footnote>
  <w:footnote w:id="6">
    <w:p>
      <w:pPr>
        <w:pStyle w:val="FootnoteText"/>
        <w:widowControl/>
        <w:jc w:val="both"/>
        <w:rPr/>
      </w:pPr>
      <w:r>
        <w:rPr>
          <w:rStyle w:val="FootnoteCharacters"/>
        </w:rPr>
        <w:footnoteRef/>
      </w:r>
      <w:r>
        <w:rPr/>
        <w:t xml:space="preserve"> </w:t>
      </w:r>
      <w:r>
        <w:rPr/>
        <w:t>The CPUC adopted the Company’s proposed revisions to accommodate the Franchise Fee Surcharge at the end of the freeze in Decision 00-06-066.  Accordingly, the Company requests the Commission to adopt the related changes in this advice filing.</w:t>
      </w:r>
    </w:p>
  </w:footnote>
  <w:footnote w:id="7">
    <w:p>
      <w:pPr>
        <w:pStyle w:val="FootnoteText"/>
        <w:widowControl/>
        <w:rPr/>
      </w:pPr>
      <w:r>
        <w:rPr>
          <w:rStyle w:val="FootnoteCharacters"/>
        </w:rPr>
        <w:footnoteRef/>
      </w:r>
      <w:r>
        <w:rPr/>
        <w:t>In Advice 2001-E, filed May 19, 2000, the Company proposed a revision to the franchise fee factor adopted in D.00-02-046.  As the Commission has not acted on Advice 2001-E, the Company has proposed to use the adopted value.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widowControl/>
            <w:rPr/>
          </w:pPr>
          <w:r>
            <w:rPr/>
            <w:t>Advice 2057-E</w:t>
          </w:r>
        </w:p>
      </w:tc>
      <w:tc>
        <w:tcPr>
          <w:tcW w:w="2952" w:type="dxa"/>
          <w:tcBorders/>
        </w:tcPr>
        <w:p>
          <w:pPr>
            <w:pStyle w:val="Header"/>
            <w:widowControl/>
            <w:jc w:val="center"/>
            <w:rPr/>
          </w:pPr>
          <w:r>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9</w:t>
          </w:r>
          <w:r>
            <w:rPr>
              <w:rStyle w:val="PageNumber"/>
              <w:sz w:val="24"/>
              <w:szCs w:val="24"/>
            </w:rPr>
            <w:fldChar w:fldCharType="end"/>
          </w:r>
          <w:r>
            <w:rPr>
              <w:rStyle w:val="PageNumber"/>
              <w:sz w:val="24"/>
              <w:szCs w:val="24"/>
            </w:rPr>
            <w:t xml:space="preserve"> -</w:t>
          </w:r>
        </w:p>
      </w:tc>
      <w:tc>
        <w:tcPr>
          <w:tcW w:w="2952" w:type="dxa"/>
          <w:tcBorders/>
        </w:tcPr>
        <w:p>
          <w:pPr>
            <w:pStyle w:val="Header"/>
            <w:widowControl/>
            <w:jc w:val="end"/>
            <w:rPr/>
          </w:pPr>
          <w:r>
            <w:rPr/>
            <w:t>November 22, 2000</w:t>
          </w:r>
        </w:p>
      </w:tc>
    </w:tr>
  </w:tbl>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color w:val="000000"/>
    </w:rPr>
  </w:style>
  <w:style w:type="paragraph" w:styleId="Heading4">
    <w:name w:val="heading 4"/>
    <w:basedOn w:val="Normal"/>
    <w:next w:val="Normal"/>
    <w:qFormat/>
    <w:pPr>
      <w:keepNext w:val="true"/>
      <w:widowControl/>
      <w:numPr>
        <w:ilvl w:val="3"/>
        <w:numId w:val="1"/>
      </w:numPr>
      <w:jc w:val="both"/>
      <w:outlineLvl w:val="3"/>
    </w:pPr>
    <w:rPr>
      <w:b/>
      <w:bCs/>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2">
    <w:name w:val="Body Text 2"/>
    <w:basedOn w:val="Normal"/>
    <w:qFormat/>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2000-11-27T17:06:00Z</dcterms:created>
  <dc:creator>Mark Huffman</dc:creator>
  <dc:description/>
  <dc:language>en-CA</dc:language>
  <cp:lastModifiedBy>Nel Avendano</cp:lastModifiedBy>
  <cp:lastPrinted>2000-11-22T10:23:00Z</cp:lastPrinted>
  <dcterms:modified xsi:type="dcterms:W3CDTF">2000-11-27T17:06:00Z</dcterms:modified>
  <cp:revision>2</cp:revision>
  <dc:subject/>
  <dc:title>Date</dc:title>
</cp:coreProperties>
</file>