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t>November 7, 2000</w:t>
      </w:r>
    </w:p>
    <w:p>
      <w:pPr>
        <w:pStyle w:val="Header"/>
        <w:widowControl/>
        <w:tabs>
          <w:tab w:val="clear" w:pos="4320"/>
          <w:tab w:val="clear" w:pos="8640"/>
        </w:tabs>
        <w:jc w:val="both"/>
        <w:rPr>
          <w:color w:val="000000"/>
        </w:rPr>
      </w:pPr>
      <w:r>
        <w:rPr>
          <w:color w:val="000000"/>
        </w:rPr>
      </w:r>
    </w:p>
    <w:p>
      <w:pPr>
        <w:pStyle w:val="Normal"/>
        <w:widowControl/>
        <w:jc w:val="both"/>
        <w:rPr/>
      </w:pPr>
      <w:r>
        <w:rPr/>
      </w:r>
    </w:p>
    <w:p>
      <w:pPr>
        <w:pStyle w:val="Normal"/>
        <w:widowControl/>
        <w:jc w:val="both"/>
        <w:rPr/>
      </w:pPr>
      <w:r>
        <w:rPr>
          <w:b/>
          <w:bCs/>
        </w:rPr>
        <w:t xml:space="preserve">Advice </w:t>
      </w:r>
      <w:r>
        <w:rPr>
          <w:b/>
          <w:bCs/>
          <w:color w:val="000000"/>
        </w:rPr>
        <w:t>2053-</w:t>
      </w:r>
      <w:r>
        <w:rPr>
          <w:b/>
          <w:bCs/>
        </w:rPr>
        <w:t>E</w:t>
      </w:r>
    </w:p>
    <w:p>
      <w:pPr>
        <w:pStyle w:val="Normal"/>
        <w:widowControl/>
        <w:jc w:val="both"/>
        <w:rPr>
          <w:sz w:val="22"/>
          <w:szCs w:val="22"/>
        </w:rPr>
      </w:pPr>
      <w:r>
        <w:rPr>
          <w:sz w:val="22"/>
          <w:szCs w:val="22"/>
        </w:rPr>
        <w:t xml:space="preserve">(Pacific Gas and Electric Company ID U 39 </w:t>
      </w:r>
      <w:r>
        <w:rPr>
          <w:color w:val="000000"/>
          <w:sz w:val="22"/>
          <w:szCs w:val="22"/>
        </w:rPr>
        <w:t>E)</w:t>
      </w:r>
    </w:p>
    <w:p>
      <w:pPr>
        <w:pStyle w:val="Normal"/>
        <w:widowControl/>
        <w:jc w:val="both"/>
        <w:rPr>
          <w:sz w:val="22"/>
          <w:szCs w:val="22"/>
        </w:rPr>
      </w:pPr>
      <w:r>
        <w:rPr>
          <w:sz w:val="22"/>
          <w:szCs w:val="22"/>
        </w:rPr>
      </w:r>
    </w:p>
    <w:p>
      <w:pPr>
        <w:pStyle w:val="Normal"/>
        <w:widowControl/>
        <w:jc w:val="both"/>
        <w:rPr/>
      </w:pPr>
      <w:r>
        <w:rPr/>
      </w:r>
    </w:p>
    <w:p>
      <w:pPr>
        <w:pStyle w:val="Normal"/>
        <w:widowControl/>
        <w:jc w:val="both"/>
        <w:rPr/>
      </w:pPr>
      <w:r>
        <w:rPr/>
        <w:t>Public Utilities Commission of the State of California</w:t>
      </w:r>
    </w:p>
    <w:p>
      <w:pPr>
        <w:pStyle w:val="Normal"/>
        <w:widowControl/>
        <w:jc w:val="both"/>
        <w:rPr/>
      </w:pPr>
      <w:r>
        <w:rPr/>
      </w:r>
    </w:p>
    <w:p>
      <w:pPr>
        <w:pStyle w:val="Normal"/>
        <w:widowControl/>
        <w:jc w:val="both"/>
        <w:rPr>
          <w:b/>
          <w:bCs/>
          <w:u w:val="single"/>
        </w:rPr>
      </w:pPr>
      <w:r>
        <w:rPr>
          <w:b/>
          <w:bCs/>
          <w:u w:val="single"/>
        </w:rPr>
        <w:t>Subject</w:t>
      </w:r>
    </w:p>
    <w:p>
      <w:pPr>
        <w:pStyle w:val="Normal"/>
        <w:widowControl/>
        <w:jc w:val="both"/>
        <w:rPr>
          <w:b/>
          <w:bCs/>
          <w:u w:val="single"/>
        </w:rPr>
      </w:pPr>
      <w:r>
        <w:rPr>
          <w:b/>
          <w:bCs/>
          <w:u w:val="single"/>
        </w:rPr>
      </w:r>
    </w:p>
    <w:p>
      <w:pPr>
        <w:pStyle w:val="Normal"/>
        <w:widowControl/>
        <w:jc w:val="both"/>
        <w:rPr/>
      </w:pPr>
      <w:r>
        <w:rPr/>
        <w:t>Pacific Gas and Electric Company (the Company) hereby submits for filing revisions to its electric tariffs.  The affected tariff sheets are listed on the enclosed Attachment I.</w:t>
      </w:r>
    </w:p>
    <w:p>
      <w:pPr>
        <w:pStyle w:val="Normal"/>
        <w:widowControl/>
        <w:jc w:val="both"/>
        <w:rPr/>
      </w:pPr>
      <w:r>
        <w:rPr/>
      </w:r>
    </w:p>
    <w:p>
      <w:pPr>
        <w:pStyle w:val="Heading1"/>
        <w:widowControl/>
        <w:ind w:hanging="0" w:start="0"/>
        <w:jc w:val="both"/>
        <w:rPr/>
      </w:pPr>
      <w:r>
        <w:rPr/>
        <w:t>Purpose</w:t>
      </w:r>
    </w:p>
    <w:p>
      <w:pPr>
        <w:pStyle w:val="Normal"/>
        <w:widowControl/>
        <w:jc w:val="both"/>
        <w:rPr/>
      </w:pPr>
      <w:r>
        <w:rPr/>
      </w:r>
    </w:p>
    <w:p>
      <w:pPr>
        <w:pStyle w:val="Normal"/>
        <w:widowControl/>
        <w:jc w:val="both"/>
        <w:rPr/>
      </w:pPr>
      <w:r>
        <w:rPr/>
        <w:t>The purpose of this filing is to submit new rate Schedule E-NET—</w:t>
      </w:r>
      <w:r>
        <w:rPr>
          <w:i/>
          <w:iCs/>
        </w:rPr>
        <w:t xml:space="preserve">Net Energy Metering Service. </w:t>
      </w:r>
      <w:r>
        <w:rPr/>
        <w:t>Schedule E-NET replaces Schedule E-NEM--</w:t>
      </w:r>
      <w:r>
        <w:rPr>
          <w:i/>
          <w:iCs/>
        </w:rPr>
        <w:t>Net Energy Metering Service</w:t>
      </w:r>
      <w:r>
        <w:rPr/>
        <w:t>.</w:t>
      </w:r>
      <w:r>
        <w:rPr>
          <w:i/>
          <w:iCs/>
        </w:rPr>
        <w:t xml:space="preserve">  </w:t>
      </w:r>
      <w:r>
        <w:rPr/>
        <w:t>This filing is made in compliance with the Administrative Law Judge’s Ruling on Implementation of Assembly Bill (AB) 918 (R. 99-10-025) dated October 23, 2000.  Effective January 1, 2001, Schedule E-NET will be the rate schedule applicable to net-metered customer-generators (“Customer-Generators”).</w:t>
      </w:r>
    </w:p>
    <w:p>
      <w:pPr>
        <w:pStyle w:val="Normal"/>
        <w:widowControl/>
        <w:jc w:val="both"/>
        <w:rPr/>
      </w:pPr>
      <w:r>
        <w:rPr/>
      </w:r>
    </w:p>
    <w:p>
      <w:pPr>
        <w:pStyle w:val="Heading1"/>
        <w:widowControl/>
        <w:ind w:hanging="0" w:start="0"/>
        <w:jc w:val="both"/>
        <w:rPr/>
      </w:pPr>
      <w:r>
        <w:rPr/>
        <w:t>Background</w:t>
      </w:r>
    </w:p>
    <w:p>
      <w:pPr>
        <w:pStyle w:val="Normal"/>
        <w:jc w:val="both"/>
        <w:rPr/>
      </w:pPr>
      <w:r>
        <w:rPr/>
      </w:r>
    </w:p>
    <w:p>
      <w:pPr>
        <w:pStyle w:val="Normal"/>
        <w:jc w:val="both"/>
        <w:rPr/>
      </w:pPr>
      <w:r>
        <w:rPr/>
        <w:t>AB 918, signed into law by Governor Davis on September 30</w:t>
      </w:r>
      <w:r>
        <w:rPr>
          <w:b/>
          <w:bCs/>
        </w:rPr>
        <w:t>,</w:t>
      </w:r>
      <w:r>
        <w:rPr/>
        <w:t xml:space="preserve"> 2000, amended section 2827 of the California Public Utilities Code to modify the billing of residential and small customers with wind and/or solar facilities of 10 kW or less on their premises.  This bill also clarifies the conditions under which the Company is obligated to serve eligible Customer-Generators who take Direct Access service from an Energy Service Provider (ESP), and which costs the Company may recover from ESPs to serve such Customer-Generators.</w:t>
      </w:r>
    </w:p>
    <w:p>
      <w:pPr>
        <w:pStyle w:val="Normal"/>
        <w:jc w:val="both"/>
        <w:rPr/>
      </w:pPr>
      <w:r>
        <w:rPr/>
      </w:r>
    </w:p>
    <w:p>
      <w:pPr>
        <w:pStyle w:val="Normal"/>
        <w:jc w:val="both"/>
        <w:rPr/>
      </w:pPr>
      <w:r>
        <w:rPr/>
        <w:t>Existing law requires that the billing and crediting of an eligible Customer-Generator be based on the average retail price per kilowatt for the customer-generator’s rate class. AB 918 establishes new formulas for the billing and crediting of eligible Customer-Generators based on the features of their otherwise-applicable rate schedules.  Features such as time-of-use rates including seasonal and low-emission vehicle rates and baseline rates (including low-income rates), will now dictate how consumption will be charged and generation credited.</w:t>
      </w:r>
    </w:p>
    <w:p>
      <w:pPr>
        <w:pStyle w:val="Normal"/>
        <w:jc w:val="both"/>
        <w:rPr/>
      </w:pPr>
      <w:r>
        <w:rPr/>
      </w:r>
    </w:p>
    <w:p>
      <w:pPr>
        <w:pStyle w:val="Normal"/>
        <w:jc w:val="both"/>
        <w:rPr/>
      </w:pPr>
      <w:r>
        <w:rPr/>
        <w:t>AB 918 clarifies the Company’s obligation to serve Customer-Generators taking Direct Access service under net energy metering.  This bill exempts the Company from the obligation to provide net energy metering to a Customer-Generator who takes Direct Access service from an ESP that does not offer net energy metering.</w:t>
      </w:r>
    </w:p>
    <w:p>
      <w:pPr>
        <w:pStyle w:val="Normal"/>
        <w:jc w:val="both"/>
        <w:rPr/>
      </w:pPr>
      <w:r>
        <w:rPr/>
      </w:r>
    </w:p>
    <w:p>
      <w:pPr>
        <w:pStyle w:val="Normal"/>
        <w:jc w:val="both"/>
        <w:rPr/>
      </w:pPr>
      <w:r>
        <w:rPr/>
        <w:t>In addition, AB 918 authorizes the Company to recover from the ESP of a Direct Access net metering Customer-Generator, any incremental costs related to metering and billing such service in an amount set by the California Public Utilities Commission.  The rates at which such incremental costs would be calculated are set out in new Schedule E-NET. These rates are based on the Company’s hourly labor cost to perform such services.</w:t>
      </w:r>
    </w:p>
    <w:p>
      <w:pPr>
        <w:pStyle w:val="Normal"/>
        <w:jc w:val="both"/>
        <w:rPr/>
      </w:pPr>
      <w:r>
        <w:rPr/>
      </w:r>
    </w:p>
    <w:p>
      <w:pPr>
        <w:pStyle w:val="Normal"/>
        <w:jc w:val="both"/>
        <w:rPr/>
      </w:pPr>
      <w:r>
        <w:rPr/>
        <w:t xml:space="preserve">AB 918 provides two conditions under which the 12-month reconciliation of the annual accounts may occur prior to the 12-month anniversary: 1) when the Customer-Generator taking Direct Access service switches ESPs, and 2) when the Customer-Generator’s ESP no longer provides Direct Access service to the customer. Language describing both of these situations is incorporated in Schedule E-NET. </w:t>
      </w:r>
    </w:p>
    <w:p>
      <w:pPr>
        <w:pStyle w:val="Normal"/>
        <w:jc w:val="both"/>
        <w:rPr/>
      </w:pPr>
      <w:r>
        <w:rPr/>
      </w:r>
    </w:p>
    <w:p>
      <w:pPr>
        <w:pStyle w:val="Normal"/>
        <w:jc w:val="both"/>
        <w:rPr/>
      </w:pPr>
      <w:r>
        <w:rPr/>
        <w:t>In addition, in order to cleanly implement the new requirements of AB 918, the Company proposes to reconcile each existing Customer-Generator account’s net usage and generation under currently effective Schedule E-NEM as of December 31, 2000.  The Company will then charge each Customer-Generator on Schedule E-NEM for any net usage they may have accrued as of that date, or return any net generation to the grid, whichever is applicable, as would occur at the end of the Schedule E-NEM customer’s 12-month reconciliation period.  The Company will implement service under new Schedule E-NET by permitting existing net metering Customer-Generators to complete new interconnection agreements effective January 1, 2001.</w:t>
      </w:r>
    </w:p>
    <w:p>
      <w:pPr>
        <w:pStyle w:val="Normal"/>
        <w:jc w:val="both"/>
        <w:rPr/>
      </w:pPr>
      <w:r>
        <w:rPr/>
      </w:r>
    </w:p>
    <w:p>
      <w:pPr>
        <w:pStyle w:val="Normal"/>
        <w:jc w:val="both"/>
        <w:rPr/>
      </w:pPr>
      <w:r>
        <w:rPr/>
        <w:t>Clarifying language is also incorporated into Schedule E-NET to explicitly state the Company’s Competitive Transition Charge (CTC) obligations in a manner consistent with the Company’s past practices under Schedule E-NEM.  Also, language is included which states that Schedule S–</w:t>
      </w:r>
      <w:r>
        <w:rPr>
          <w:i/>
          <w:iCs/>
        </w:rPr>
        <w:t>Standby Service</w:t>
      </w:r>
      <w:r>
        <w:rPr/>
        <w:t xml:space="preserve">, does not apply to net metering customers.  </w:t>
      </w:r>
    </w:p>
    <w:p>
      <w:pPr>
        <w:pStyle w:val="Normal"/>
        <w:jc w:val="both"/>
        <w:rPr/>
      </w:pPr>
      <w:r>
        <w:rPr/>
      </w:r>
    </w:p>
    <w:p>
      <w:pPr>
        <w:pStyle w:val="Normal"/>
        <w:jc w:val="both"/>
        <w:rPr/>
      </w:pPr>
      <w:r>
        <w:rPr/>
        <w:t xml:space="preserve">The </w:t>
      </w:r>
      <w:r>
        <w:rPr>
          <w:u w:val="single"/>
        </w:rPr>
        <w:t>Interconnection Agreement for Net Energy Metering for Residential and Small Commercial Solar or Wind Electric Generating Facilities of 10 Kilowatts or Less</w:t>
      </w:r>
      <w:r>
        <w:rPr/>
        <w:t xml:space="preserve"> (Interconnection Agreement) (Form 79-854) has been updated to reflect that Customer-Generators may pay their net energy consumption monthly if they choose, a change authorized by AB 918.  In addition, the Interconnection Agreement has been reformatted so the Company may collect more detailed information about the Customer-Generator’s generating systems and to make administrative functions more efficient. </w:t>
      </w:r>
    </w:p>
    <w:p>
      <w:pPr>
        <w:pStyle w:val="Normal"/>
        <w:jc w:val="both"/>
        <w:rPr/>
      </w:pPr>
      <w:r>
        <w:rPr/>
      </w:r>
    </w:p>
    <w:p>
      <w:pPr>
        <w:pStyle w:val="Normal"/>
        <w:jc w:val="both"/>
        <w:rPr/>
      </w:pPr>
      <w:r>
        <w:rPr/>
      </w:r>
    </w:p>
    <w:p>
      <w:pPr>
        <w:pStyle w:val="Heading1"/>
        <w:widowControl/>
        <w:ind w:hanging="0" w:start="0"/>
        <w:jc w:val="both"/>
        <w:rPr/>
      </w:pPr>
      <w:r>
        <w:rPr/>
        <w:t>Protests</w:t>
      </w:r>
    </w:p>
    <w:p>
      <w:pPr>
        <w:pStyle w:val="Normal"/>
        <w:widowControl/>
        <w:jc w:val="both"/>
        <w:rPr/>
      </w:pPr>
      <w:r>
        <w:rPr/>
      </w:r>
    </w:p>
    <w:p>
      <w:pPr>
        <w:pStyle w:val="Normal"/>
        <w:widowControl/>
        <w:jc w:val="both"/>
        <w:rPr/>
      </w:pPr>
      <w:r>
        <w:rPr/>
        <w:t>Anyone wishing to protest this filing may do so by sending a letter within 20 days of the date of this filing.  The protest must state the grounds upon which it is based, including such items as financial and service impact, and should be submitted expeditiously.  Protests should be mailed to:</w:t>
      </w:r>
    </w:p>
    <w:p>
      <w:pPr>
        <w:pStyle w:val="Normal"/>
        <w:widowControl/>
        <w:jc w:val="both"/>
        <w:rPr/>
      </w:pPr>
      <w:r>
        <w:rPr/>
      </w:r>
    </w:p>
    <w:p>
      <w:pPr>
        <w:pStyle w:val="Normal"/>
        <w:widowControl/>
        <w:ind w:start="2700" w:end="0"/>
        <w:jc w:val="both"/>
        <w:rPr/>
      </w:pPr>
      <w:r>
        <w:rPr/>
        <w:t>IMC Branch Chief</w:t>
      </w:r>
    </w:p>
    <w:p>
      <w:pPr>
        <w:pStyle w:val="Normal"/>
        <w:widowControl/>
        <w:ind w:start="2700" w:end="0"/>
        <w:jc w:val="both"/>
        <w:rPr/>
      </w:pPr>
      <w:r>
        <w:rPr/>
        <w:t>Energy Division</w:t>
      </w:r>
    </w:p>
    <w:p>
      <w:pPr>
        <w:pStyle w:val="Normal"/>
        <w:widowControl/>
        <w:ind w:start="2700" w:end="0"/>
        <w:jc w:val="both"/>
        <w:rPr/>
      </w:pPr>
      <w:r>
        <w:rPr/>
        <w:t>California Public Utilities Commission</w:t>
      </w:r>
    </w:p>
    <w:p>
      <w:pPr>
        <w:pStyle w:val="Normal"/>
        <w:widowControl/>
        <w:ind w:start="2700" w:end="0"/>
        <w:jc w:val="both"/>
        <w:rPr/>
      </w:pPr>
      <w:r>
        <w:rPr/>
        <w:t>505 Van Ness Avenue, Room 4002</w:t>
      </w:r>
    </w:p>
    <w:p>
      <w:pPr>
        <w:pStyle w:val="Normal"/>
        <w:widowControl/>
        <w:ind w:start="2700" w:end="0"/>
        <w:jc w:val="both"/>
        <w:rPr/>
      </w:pPr>
      <w:r>
        <w:rPr/>
        <w:t>San Francisco, CA  94102</w:t>
      </w:r>
    </w:p>
    <w:p>
      <w:pPr>
        <w:pStyle w:val="Normal"/>
        <w:widowControl/>
        <w:ind w:start="2700" w:end="0"/>
        <w:jc w:val="both"/>
        <w:rPr/>
      </w:pPr>
      <w:r>
        <w:rPr/>
        <w:t>Facsimile: (415) 703-2200</w:t>
      </w:r>
    </w:p>
    <w:p>
      <w:pPr>
        <w:pStyle w:val="Normal"/>
        <w:widowControl/>
        <w:jc w:val="both"/>
        <w:rPr/>
      </w:pPr>
      <w:r>
        <w:rPr/>
      </w:r>
    </w:p>
    <w:p>
      <w:pPr>
        <w:pStyle w:val="Normal"/>
        <w:widowControl/>
        <w:jc w:val="both"/>
        <w:rPr/>
      </w:pPr>
      <w:r>
        <w:rPr/>
        <w:t xml:space="preserve">Copies should also be mailed to the attention of the Director, Energy Division, Room 4005 and Jerry Royer, Energy Division, at the address shown above.  It is also requested that a copy of the protest be sent via postal mail </w:t>
      </w:r>
      <w:r>
        <w:rPr>
          <w:u w:val="single"/>
        </w:rPr>
        <w:t>and</w:t>
      </w:r>
      <w:r>
        <w:rPr/>
        <w:t xml:space="preserve"> facsimile to Pacific Gas and Electric Company on the same date it is mailed or delivered to the Commission at the address shown below.</w:t>
      </w:r>
    </w:p>
    <w:p>
      <w:pPr>
        <w:pStyle w:val="Normal"/>
        <w:widowControl/>
        <w:jc w:val="both"/>
        <w:rPr/>
      </w:pPr>
      <w:r>
        <w:rPr/>
      </w:r>
    </w:p>
    <w:p>
      <w:pPr>
        <w:pStyle w:val="Header"/>
        <w:widowControl/>
        <w:tabs>
          <w:tab w:val="clear" w:pos="4320"/>
          <w:tab w:val="clear" w:pos="8640"/>
        </w:tabs>
        <w:jc w:val="both"/>
        <w:rPr/>
      </w:pPr>
      <w:r>
        <w:rPr/>
        <w:tab/>
        <w:tab/>
        <w:tab/>
        <w:tab/>
        <w:t>Pacific Gas and Electric Company</w:t>
      </w:r>
    </w:p>
    <w:p>
      <w:pPr>
        <w:pStyle w:val="Normal"/>
        <w:widowControl/>
        <w:ind w:start="2880" w:end="0"/>
        <w:jc w:val="both"/>
        <w:rPr/>
      </w:pPr>
      <w:r>
        <w:rPr/>
        <w:t>Attention: Les Guliasi</w:t>
      </w:r>
    </w:p>
    <w:p>
      <w:pPr>
        <w:pStyle w:val="Normal"/>
        <w:widowControl/>
        <w:ind w:start="2880" w:end="0"/>
        <w:jc w:val="both"/>
        <w:rPr/>
      </w:pPr>
      <w:r>
        <w:rPr/>
        <w:t>Director, Regulatory Relations</w:t>
      </w:r>
    </w:p>
    <w:p>
      <w:pPr>
        <w:pStyle w:val="Normal"/>
        <w:widowControl/>
        <w:ind w:start="2880" w:end="0"/>
        <w:jc w:val="both"/>
        <w:rPr/>
      </w:pPr>
      <w:r>
        <w:rPr/>
        <w:t>77 Beale Street, Mailcode B10C</w:t>
      </w:r>
    </w:p>
    <w:p>
      <w:pPr>
        <w:pStyle w:val="Normal"/>
        <w:widowControl/>
        <w:ind w:start="2880" w:end="0"/>
        <w:jc w:val="both"/>
        <w:rPr/>
      </w:pPr>
      <w:r>
        <w:rPr/>
        <w:t>P.O. Box 770000</w:t>
      </w:r>
    </w:p>
    <w:p>
      <w:pPr>
        <w:pStyle w:val="Normal"/>
        <w:widowControl/>
        <w:ind w:start="2880" w:end="0"/>
        <w:jc w:val="both"/>
        <w:rPr/>
      </w:pPr>
      <w:r>
        <w:rPr/>
        <w:t>San Francisco, CA  94177</w:t>
      </w:r>
    </w:p>
    <w:p>
      <w:pPr>
        <w:pStyle w:val="Normal"/>
        <w:widowControl/>
        <w:ind w:start="2880" w:end="0"/>
        <w:jc w:val="both"/>
        <w:rPr/>
      </w:pPr>
      <w:r>
        <w:rPr/>
        <w:t>Facsimile: (415) 973-7226</w:t>
      </w:r>
    </w:p>
    <w:p>
      <w:pPr>
        <w:pStyle w:val="Heading1"/>
        <w:widowControl/>
        <w:ind w:hanging="0" w:start="0"/>
        <w:jc w:val="both"/>
        <w:rPr/>
      </w:pPr>
      <w:r>
        <w:rPr/>
        <w:t>Effective Date</w:t>
      </w:r>
    </w:p>
    <w:p>
      <w:pPr>
        <w:pStyle w:val="Normal"/>
        <w:widowControl/>
        <w:jc w:val="both"/>
        <w:rPr/>
      </w:pPr>
      <w:r>
        <w:rPr/>
      </w:r>
    </w:p>
    <w:p>
      <w:pPr>
        <w:pStyle w:val="Normal"/>
        <w:widowControl/>
        <w:jc w:val="both"/>
        <w:rPr/>
      </w:pPr>
      <w:r>
        <w:rPr/>
        <w:t xml:space="preserve">In accordance with the terms of AB 918, the Company requests that this advice filing become effective </w:t>
      </w:r>
      <w:r>
        <w:rPr>
          <w:b/>
          <w:bCs/>
        </w:rPr>
        <w:t>January 1, 2001</w:t>
      </w:r>
      <w:r>
        <w:rPr/>
        <w:t>.</w:t>
      </w:r>
    </w:p>
    <w:p>
      <w:pPr>
        <w:pStyle w:val="Normal"/>
        <w:widowControl/>
        <w:jc w:val="both"/>
        <w:rPr/>
      </w:pPr>
      <w:r>
        <w:rPr/>
      </w:r>
    </w:p>
    <w:p>
      <w:pPr>
        <w:pStyle w:val="Heading2"/>
        <w:widowControl/>
        <w:ind w:hanging="0" w:start="0"/>
        <w:jc w:val="both"/>
        <w:rPr>
          <w:u w:val="single"/>
        </w:rPr>
      </w:pPr>
      <w:r>
        <w:rPr>
          <w:u w:val="single"/>
        </w:rPr>
        <w:t>Notice</w:t>
      </w:r>
    </w:p>
    <w:p>
      <w:pPr>
        <w:pStyle w:val="Normal"/>
        <w:widowControl/>
        <w:jc w:val="both"/>
        <w:rPr>
          <w:u w:val="single"/>
        </w:rPr>
      </w:pPr>
      <w:r>
        <w:rPr>
          <w:u w:val="single"/>
        </w:rPr>
      </w:r>
    </w:p>
    <w:p>
      <w:pPr>
        <w:pStyle w:val="BodyText"/>
        <w:widowControl/>
        <w:rPr/>
      </w:pPr>
      <w:r>
        <w:rPr/>
        <w:t>In accordance with Section III, Paragraph G, of General Order 96-A, a copy of this advice letter is being sent electronically and via U.S. mail to parties shown on the attached list and to the service list for Rulemaking (R.) 99-10-025 Address changes should be directed to Nelia Avendano at (415) 973-3529.</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Vice President - Regulatory Relations</w:t>
      </w:r>
    </w:p>
    <w:p>
      <w:pPr>
        <w:pStyle w:val="Normal"/>
        <w:widowControl/>
        <w:jc w:val="both"/>
        <w:rPr/>
      </w:pPr>
      <w:r>
        <w:rPr/>
      </w:r>
    </w:p>
    <w:p>
      <w:pPr>
        <w:pStyle w:val="Normal"/>
        <w:widowControl/>
        <w:jc w:val="both"/>
        <w:rPr>
          <w:sz w:val="22"/>
          <w:szCs w:val="22"/>
        </w:rPr>
      </w:pPr>
      <w:r>
        <w:rPr>
          <w:sz w:val="22"/>
          <w:szCs w:val="22"/>
        </w:rPr>
        <w:t>cc:  Service List – R. 99-10-025</w:t>
      </w:r>
    </w:p>
    <w:p>
      <w:pPr>
        <w:pStyle w:val="Normal"/>
        <w:widowControl/>
        <w:jc w:val="both"/>
        <w:rPr>
          <w:sz w:val="22"/>
          <w:szCs w:val="22"/>
        </w:rPr>
      </w:pPr>
      <w:r>
        <w:rPr>
          <w:sz w:val="22"/>
          <w:szCs w:val="22"/>
        </w:rPr>
      </w:r>
    </w:p>
    <w:p>
      <w:pPr>
        <w:pStyle w:val="Normal"/>
        <w:widowControl/>
        <w:jc w:val="both"/>
        <w:rPr>
          <w:sz w:val="22"/>
          <w:szCs w:val="22"/>
        </w:rPr>
      </w:pPr>
      <w:r>
        <w:rPr>
          <w:sz w:val="22"/>
          <w:szCs w:val="22"/>
        </w:rPr>
        <w:t>Attachments</w:t>
      </w:r>
    </w:p>
    <w:sectPr>
      <w:headerReference w:type="default" r:id="rId2"/>
      <w:headerReference w:type="first" r:id="rId3"/>
      <w:type w:val="nextPage"/>
      <w:pgSz w:w="12240" w:h="15840"/>
      <w:pgMar w:left="1728"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widowControl/>
            <w:rPr>
              <w:sz w:val="22"/>
              <w:szCs w:val="22"/>
            </w:rPr>
          </w:pPr>
          <w:r>
            <w:rPr>
              <w:sz w:val="22"/>
              <w:szCs w:val="22"/>
            </w:rPr>
            <w:t xml:space="preserve">  </w:t>
          </w:r>
          <w:r>
            <w:rPr>
              <w:sz w:val="22"/>
              <w:szCs w:val="22"/>
            </w:rPr>
            <w:t>Advice 2053-E</w:t>
          </w:r>
        </w:p>
      </w:tc>
      <w:tc>
        <w:tcPr>
          <w:tcW w:w="2952" w:type="dxa"/>
          <w:tcBorders/>
        </w:tcPr>
        <w:p>
          <w:pPr>
            <w:pStyle w:val="Header"/>
            <w:widowControl/>
            <w:jc w:val="center"/>
            <w:rPr>
              <w:sz w:val="22"/>
              <w:szCs w:val="22"/>
            </w:rPr>
          </w:pPr>
          <w:r>
            <w:rPr>
              <w:sz w:val="22"/>
              <w:szCs w:val="22"/>
            </w:rP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3</w:t>
          </w:r>
          <w:r>
            <w:rPr>
              <w:rStyle w:val="PageNumber"/>
              <w:sz w:val="22"/>
              <w:szCs w:val="22"/>
            </w:rPr>
            <w:fldChar w:fldCharType="end"/>
          </w:r>
          <w:r>
            <w:rPr>
              <w:rStyle w:val="PageNumber"/>
              <w:sz w:val="22"/>
              <w:szCs w:val="22"/>
            </w:rPr>
            <w:t xml:space="preserve"> -</w:t>
          </w:r>
        </w:p>
      </w:tc>
      <w:tc>
        <w:tcPr>
          <w:tcW w:w="2952" w:type="dxa"/>
          <w:tcBorders/>
        </w:tcPr>
        <w:p>
          <w:pPr>
            <w:pStyle w:val="Header"/>
            <w:widowControl/>
            <w:jc w:val="end"/>
            <w:rPr>
              <w:sz w:val="22"/>
              <w:szCs w:val="22"/>
            </w:rPr>
          </w:pPr>
          <w:r>
            <w:rPr>
              <w:sz w:val="22"/>
              <w:szCs w:val="22"/>
            </w:rPr>
            <w:t>November 7, 2000</w:t>
          </w:r>
        </w:p>
      </w:tc>
    </w:tr>
  </w:tbl>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2000-11-08T13:20:00Z</dcterms:created>
  <dc:creator>Stacy Walter</dc:creator>
  <dc:description/>
  <dc:language>en-CA</dc:language>
  <cp:lastModifiedBy>Nel Avendano</cp:lastModifiedBy>
  <cp:lastPrinted>2000-11-07T12:50:00Z</cp:lastPrinted>
  <dcterms:modified xsi:type="dcterms:W3CDTF">2000-11-08T13:20:00Z</dcterms:modified>
  <cp:revision>2</cp:revision>
  <dc:subject/>
  <dc:title>Date</dc:title>
</cp:coreProperties>
</file>