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r>
    </w:p>
    <w:p>
      <w:pPr>
        <w:pStyle w:val="Subtitle"/>
        <w:rPr/>
      </w:pPr>
      <w:r>
        <w:rPr/>
        <w:t>Section 201 Q&amp;A</w:t>
      </w:r>
    </w:p>
    <w:p>
      <w:pPr>
        <w:pStyle w:val="Heading1"/>
        <w:ind w:hanging="0" w:start="0"/>
        <w:rPr/>
      </w:pPr>
      <w:r>
        <w:rPr/>
      </w:r>
    </w:p>
    <w:p>
      <w:pPr>
        <w:pStyle w:val="Normal"/>
        <w:rPr>
          <w:b/>
        </w:rPr>
      </w:pPr>
      <w:r>
        <w:rPr>
          <w:b/>
        </w:rPr>
      </w:r>
    </w:p>
    <w:p>
      <w:pPr>
        <w:pStyle w:val="BodyText"/>
        <w:rPr/>
      </w:pPr>
      <w:r>
        <w:rPr/>
        <w:t xml:space="preserve">Is a Section 201 investigation warranted?  What are the solutions to the current steel crisis? </w:t>
      </w:r>
    </w:p>
    <w:p>
      <w:pPr>
        <w:pStyle w:val="Normal"/>
        <w:rPr/>
      </w:pPr>
      <w:r>
        <w:rPr/>
      </w:r>
    </w:p>
    <w:p>
      <w:pPr>
        <w:pStyle w:val="Normal"/>
        <w:rPr/>
      </w:pPr>
      <w:r>
        <w:rPr/>
        <w:t>Enron recognizes that the domestic industry is suffering from the effects of a prolonged price slump and global steel overcapacity. The acknowledgment of this injury by the domestic producers is warranted and the call to action to address the problems is necessary.  Import restraints resulting from a Section 201 investigation, however, is not the appropriate approach.  Import restraints, that are often the result of a 201 investigation, distort markets and inhibit competition.  The import restraints raised in the mid-1980’s to protect the U.S. steel industry did not lead to a creation of a more efficient steel industry.  Rather, as foreign mills introduced new, efficient technologies, the U.S. mills retained outdated technologies and capacity.  It was not until competition was reintroduced, with the removal of the import quotas and the arrival of the minimills, that the U.S. steel industry started to modernize.</w:t>
      </w:r>
    </w:p>
    <w:p>
      <w:pPr>
        <w:pStyle w:val="Normal"/>
        <w:rPr/>
      </w:pPr>
      <w:r>
        <w:rPr/>
      </w:r>
    </w:p>
    <w:p>
      <w:pPr>
        <w:pStyle w:val="Normal"/>
        <w:rPr/>
      </w:pPr>
      <w:r>
        <w:rPr/>
        <w:t>Given that the investigation has started, to ensure a fair investigation and meaningful outcome, the investigation should not focus only on imports, but on all of the challenges facing the domestic industry.  The investigation should be far-reaching and thorough, and should not ignore the multitude of domestic problems:  overcapacity, inefficiencies, lack of consolidation and economies of scale, legacy and environmental costs.</w:t>
      </w:r>
    </w:p>
    <w:p>
      <w:pPr>
        <w:pStyle w:val="Normal"/>
        <w:rPr/>
      </w:pPr>
      <w:r>
        <w:rPr/>
      </w:r>
    </w:p>
    <w:p>
      <w:pPr>
        <w:pStyle w:val="Normal"/>
        <w:rPr/>
      </w:pPr>
      <w:r>
        <w:rPr/>
        <w:t>Global market fundamentals, not politics, should define the focus of the investigation in order to determine the causes of the domestic steel crisis.  Market forces should also be a defining factor in making any remedy recommendations.  The Administration should use a market-based approach to design solutions for the domestic industry and aggressively pursue multilateral and domestic negotiations to eliminate inefficient capacity and reduce market distortions created by government subsidies.</w:t>
      </w:r>
    </w:p>
    <w:p>
      <w:pPr>
        <w:pStyle w:val="Normal"/>
        <w:rPr/>
      </w:pPr>
      <w:r>
        <w:rPr/>
      </w:r>
    </w:p>
    <w:p>
      <w:pPr>
        <w:pStyle w:val="BodyText"/>
        <w:rPr/>
      </w:pPr>
      <w:r>
        <w:rPr/>
        <w:t>What factors should the Administration consider in making the injury determination?</w:t>
      </w:r>
    </w:p>
    <w:p>
      <w:pPr>
        <w:pStyle w:val="BodyText"/>
        <w:rPr/>
      </w:pPr>
      <w:r>
        <w:rPr/>
      </w:r>
    </w:p>
    <w:p>
      <w:pPr>
        <w:pStyle w:val="BodyText"/>
        <w:rPr>
          <w:color w:val="0000FF"/>
          <w:u w:val="double"/>
        </w:rPr>
      </w:pPr>
      <w:r>
        <w:rPr>
          <w:b w:val="false"/>
        </w:rPr>
        <w:t xml:space="preserve">The Administration looks at whether the imports are a </w:t>
      </w:r>
      <w:r>
        <w:rPr>
          <w:b w:val="false"/>
          <w:i/>
        </w:rPr>
        <w:t>substantial</w:t>
      </w:r>
      <w:r>
        <w:rPr>
          <w:b w:val="false"/>
        </w:rPr>
        <w:t xml:space="preserve"> cause of any serious injury to the domestic industry.  This investigation covers over 31 different steel products, each with different market participants and market dynamics.  The Administration must carefully distinguish among the disparate conditions of competition within each product market and each industry segment.  The investigation should analyze all market forces domestic and global, as well as long-term and short-term, affecting each industry. </w:t>
      </w:r>
      <w:r>
        <w:br w:type="page"/>
      </w:r>
    </w:p>
    <w:p>
      <w:pPr>
        <w:pStyle w:val="Normal"/>
        <w:rPr>
          <w:b/>
          <w:color w:val="0000FF"/>
          <w:u w:val="double"/>
        </w:rPr>
      </w:pPr>
      <w:r>
        <w:rPr>
          <w:b/>
          <w:color w:val="0000FF"/>
          <w:u w:val="double"/>
        </w:rPr>
      </w:r>
    </w:p>
    <w:p>
      <w:pPr>
        <w:pStyle w:val="Normal"/>
        <w:rPr>
          <w:b/>
        </w:rPr>
      </w:pPr>
      <w:r>
        <w:rPr>
          <w:b/>
        </w:rPr>
        <w:t>What remedies should be proposed by the Administration?</w:t>
      </w:r>
    </w:p>
    <w:p>
      <w:pPr>
        <w:pStyle w:val="Normal"/>
        <w:rPr>
          <w:b/>
        </w:rPr>
      </w:pPr>
      <w:r>
        <w:rPr>
          <w:b/>
        </w:rPr>
      </w:r>
    </w:p>
    <w:p>
      <w:pPr>
        <w:pStyle w:val="Normal"/>
        <w:rPr/>
      </w:pPr>
      <w:r>
        <w:rPr/>
        <w:t>Enron recognizes that the domestic steel industry is a vital component of the US market and should become a competitive source in the increasingly global economy.  Therefore, the remedy should focus on the measures that would increase the global competitiveness of the domestic industry.  The Administration should apply market-based measures that do not restrict global trade flows.  For example, the Administration should implement a flexible import adjustment mechanism to meet the domestic demand for steel and exempt products that are consumed by the domestic industry from import restrictions.  Any remedy should be tailored to reflect the market fundamentals of each of the 31 different industries, and not apply a “one size fits all” administrative approach that would insulate the domestic industry from global competition.  In addition, any remedy must consider the impact of trade restrictions on downstream users of steel, whose products must compete in a global market in which other producers will not face the higher costs resulting from restricted imports of inputs.</w:t>
      </w:r>
    </w:p>
    <w:p>
      <w:pPr>
        <w:pStyle w:val="Normal"/>
        <w:rPr>
          <w:b/>
        </w:rPr>
      </w:pPr>
      <w:r>
        <w:rPr>
          <w:b/>
        </w:rPr>
      </w:r>
    </w:p>
    <w:p>
      <w:pPr>
        <w:pStyle w:val="Normal"/>
        <w:rPr>
          <w:b/>
        </w:rPr>
      </w:pPr>
      <w:r>
        <w:rPr>
          <w:b/>
        </w:rPr>
        <w:t>What is the appropriate safeguard mechanism for limiting imports?</w:t>
      </w:r>
    </w:p>
    <w:p>
      <w:pPr>
        <w:pStyle w:val="Normal"/>
        <w:rPr>
          <w:b/>
        </w:rPr>
      </w:pPr>
      <w:r>
        <w:rPr>
          <w:b/>
        </w:rPr>
      </w:r>
    </w:p>
    <w:p>
      <w:pPr>
        <w:pStyle w:val="Normal"/>
        <w:rPr/>
      </w:pPr>
      <w:r>
        <w:rPr/>
        <w:t>If relief is afforded to the domestic industry under Section 201 in the form of import restrictions, the US government should avoid trade distorting measures and implement the most transparent import regulation mechanism available.  In addition, any import regulation regime should be progressively liberalized during the restrictions period in compliance with the WTO agreements.  Moreover, the import regime should provide for a flexible, and swift, import adjustment mechanism when the domestic industry is unable to satisfy market demand.</w:t>
      </w:r>
    </w:p>
    <w:p>
      <w:pPr>
        <w:pStyle w:val="Normal"/>
        <w:rPr/>
      </w:pPr>
      <w:r>
        <w:rPr/>
      </w:r>
    </w:p>
    <w:p>
      <w:pPr>
        <w:pStyle w:val="Normal"/>
        <w:rPr>
          <w:b/>
        </w:rPr>
      </w:pPr>
      <w:r>
        <w:rPr>
          <w:b/>
        </w:rPr>
        <w:t>What conditions should be imposed on the domestic industry?</w:t>
      </w:r>
    </w:p>
    <w:p>
      <w:pPr>
        <w:pStyle w:val="Normal"/>
        <w:rPr>
          <w:b/>
        </w:rPr>
      </w:pPr>
      <w:r>
        <w:rPr>
          <w:b/>
        </w:rPr>
      </w:r>
    </w:p>
    <w:p>
      <w:pPr>
        <w:pStyle w:val="Normal"/>
        <w:rPr/>
      </w:pPr>
      <w:r>
        <w:rPr/>
        <w:t xml:space="preserve">Section 201 was designed to provide the domestic industry with a </w:t>
      </w:r>
      <w:r>
        <w:rPr>
          <w:b/>
        </w:rPr>
        <w:t>temporary</w:t>
      </w:r>
      <w:r>
        <w:rPr/>
        <w:t xml:space="preserve"> period of protection to allow it to restructure and rationalize its production.  The Administration should require the domestic industry to present a wide-ranging restructuring plan</w:t>
      </w:r>
    </w:p>
    <w:p>
      <w:pPr>
        <w:pStyle w:val="Normal"/>
        <w:rPr/>
      </w:pPr>
      <w:r>
        <w:rPr/>
        <w:t>The industry needs to propose effective measures to increase production efficiencies; identify and eliminate inefficient production facilities; explore intra-industry production alliances and merger opportunities in an effort to streamline domestic capacity and increase economies of scale.  The industry should be required to commit its own resources (rather than rely on taxpayer dollars) and to complete a restructuring plan within a designated period of time.  The Administration can assist the industry’s restructuring efforts by providing transitional benefits payments or by investing in worker training to alleviate the industry’s mounting legacy costs.</w:t>
      </w:r>
    </w:p>
    <w:p>
      <w:pPr>
        <w:pStyle w:val="Normal"/>
        <w:rPr>
          <w:b/>
        </w:rPr>
      </w:pPr>
      <w:r>
        <w:rPr>
          <w:b/>
        </w:rPr>
      </w:r>
    </w:p>
    <w:p>
      <w:pPr>
        <w:pStyle w:val="Normal"/>
        <w:rPr/>
      </w:pPr>
      <w:r>
        <w:rPr/>
        <w:t>The Administration should scrutinize carefully the industries’ proposed adjustment plans to ensure each program’s practicability.  Moreover, the Administration should establish a timeline with specific adjustment criteria that must be met in order to warrant continued import protection.</w:t>
      </w:r>
    </w:p>
    <w:p>
      <w:pPr>
        <w:pStyle w:val="Normal"/>
        <w:rPr>
          <w:b/>
        </w:rPr>
      </w:pPr>
      <w:r>
        <w:rPr>
          <w:b/>
        </w:rPr>
      </w:r>
    </w:p>
    <w:p>
      <w:pPr>
        <w:pStyle w:val="BodyText"/>
        <w:rPr>
          <w:b w:val="false"/>
        </w:rPr>
      </w:pPr>
      <w:r>
        <w:rPr>
          <w:b w:val="false"/>
        </w:rPr>
      </w:r>
    </w:p>
    <w:p>
      <w:pPr>
        <w:pStyle w:val="BodyText"/>
        <w:rPr/>
      </w:pPr>
      <w:r>
        <w:rPr/>
        <w:t xml:space="preserve">Does Enron support open markets to the detriment of the US steel industry?  </w:t>
      </w:r>
    </w:p>
    <w:p>
      <w:pPr>
        <w:pStyle w:val="BodyText"/>
        <w:rPr>
          <w:b w:val="false"/>
        </w:rPr>
      </w:pPr>
      <w:r>
        <w:rPr>
          <w:b w:val="false"/>
        </w:rPr>
      </w:r>
    </w:p>
    <w:p>
      <w:pPr>
        <w:pStyle w:val="BodyText"/>
        <w:rPr/>
      </w:pPr>
      <w:r>
        <w:rPr>
          <w:b w:val="false"/>
        </w:rPr>
        <w:t>Open markets need not be detrimental to the U.S. steel industry.  In fact, as the experience of the mid-1980’s suggests, protection can sometimes do more harm than competition.  In fact, based on Enron’s experience in several other industries, including the energy industry, we know that competitive markets fix themselves when they are allowed to operate.</w:t>
      </w:r>
      <w:r>
        <w:rPr/>
        <w:t xml:space="preserve">  </w:t>
      </w:r>
      <w:r>
        <w:rPr>
          <w:b w:val="false"/>
        </w:rPr>
        <w:t xml:space="preserve">Competitive markets are efficient markets, allowing demand to respond to supply.  In a truly competitive market, buyers and sellers are free to set mutually beneficial terms, and buyers are able to react to market signals to minimize risk.  This is how we operate in the market, and we think it would work for the steel industry as well.  </w:t>
      </w:r>
    </w:p>
    <w:p>
      <w:pPr>
        <w:pStyle w:val="BodyText"/>
        <w:rPr>
          <w:b w:val="false"/>
        </w:rPr>
      </w:pPr>
      <w:r>
        <w:rPr>
          <w:b w:val="false"/>
        </w:rPr>
      </w:r>
    </w:p>
    <w:p>
      <w:pPr>
        <w:pStyle w:val="BodyText"/>
        <w:rPr/>
      </w:pPr>
      <w:r>
        <w:rPr/>
        <w:t>Enron is a member of CITAC (Consuming Industries Trade Action Coalition) (</w:t>
      </w:r>
      <w:hyperlink r:id="rId2">
        <w:r>
          <w:rPr>
            <w:rStyle w:val="Hyperlink"/>
            <w:b/>
          </w:rPr>
          <w:t>www.citac-trade.org</w:t>
        </w:r>
      </w:hyperlink>
      <w:r>
        <w:rPr/>
        <w:t>).  Why are we a member?</w:t>
      </w:r>
    </w:p>
    <w:p>
      <w:pPr>
        <w:pStyle w:val="BodyText"/>
        <w:rPr>
          <w:b w:val="false"/>
        </w:rPr>
      </w:pPr>
      <w:r>
        <w:rPr>
          <w:b w:val="false"/>
        </w:rPr>
      </w:r>
    </w:p>
    <w:p>
      <w:pPr>
        <w:pStyle w:val="BodyText"/>
        <w:rPr>
          <w:b w:val="false"/>
        </w:rPr>
      </w:pPr>
      <w:r>
        <w:rPr>
          <w:b w:val="false"/>
        </w:rPr>
        <w:t xml:space="preserve">CITAC is a coalition of companies and organizations committed to promoting global markets and access to raw materials and other imports that enhance the international competitiveness of U.S. companies. Enron will continue to support CITAC as long as CITAC continues to promote the values of competitive markets. </w:t>
      </w:r>
    </w:p>
    <w:p>
      <w:pPr>
        <w:pStyle w:val="BodyText"/>
        <w:rPr>
          <w:b w:val="false"/>
        </w:rPr>
      </w:pPr>
      <w:r>
        <w:rPr/>
        <w:t xml:space="preserve"> </w:t>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ac-trade.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2001-07-24T11:16:00Z</dcterms:created>
  <dc:creator>marefiev</dc:creator>
  <dc:description/>
  <dc:language>en-CA</dc:language>
  <cp:lastModifiedBy>jwalker3</cp:lastModifiedBy>
  <cp:lastPrinted>2001-08-17T14:43:00Z</cp:lastPrinted>
  <dcterms:modified xsi:type="dcterms:W3CDTF">2001-08-20T14:32:00Z</dcterms:modified>
  <cp:revision>7</cp:revision>
  <dc:subject/>
  <dc:title>DRAFT</dc:title>
</cp:coreProperties>
</file>