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APPENDIX</w:t>
      </w:r>
    </w:p>
    <w:p>
      <w:pPr>
        <w:pStyle w:val="Heading"/>
        <w:rPr/>
      </w:pPr>
      <w:r>
        <w:rPr/>
      </w:r>
    </w:p>
    <w:p>
      <w:pPr>
        <w:pStyle w:val="Heading"/>
        <w:rPr/>
      </w:pPr>
      <w:r>
        <w:rPr/>
        <w:t xml:space="preserve"> </w:t>
      </w:r>
      <w:r>
        <w:rPr/>
        <w:t>TO THE TERMS OF BUSINESS</w:t>
      </w:r>
    </w:p>
    <w:p>
      <w:pPr>
        <w:pStyle w:val="Heading"/>
        <w:rPr/>
      </w:pPr>
      <w:r>
        <w:rPr/>
        <w:t xml:space="preserve"> </w:t>
      </w:r>
    </w:p>
    <w:p>
      <w:pPr>
        <w:pStyle w:val="Normal"/>
        <w:jc w:val="center"/>
        <w:rPr>
          <w:b/>
        </w:rPr>
      </w:pPr>
      <w:r>
        <w:rPr>
          <w:b/>
        </w:rPr>
        <w:t>Between</w:t>
      </w:r>
    </w:p>
    <w:p>
      <w:pPr>
        <w:pStyle w:val="Normal"/>
        <w:jc w:val="center"/>
        <w:rPr>
          <w:b/>
        </w:rPr>
      </w:pPr>
      <w:r>
        <w:rPr>
          <w:b/>
        </w:rPr>
        <w:t>MONUMENT DERIVATIVES LIMITED (“MDL”)</w:t>
      </w:r>
    </w:p>
    <w:p>
      <w:pPr>
        <w:pStyle w:val="Normal"/>
        <w:jc w:val="center"/>
        <w:rPr>
          <w:b/>
        </w:rPr>
      </w:pPr>
      <w:r>
        <w:rPr>
          <w:b/>
        </w:rPr>
        <w:t>CREDIT LYONNAIS ROUSE LIMITED (“CLR”)</w:t>
      </w:r>
    </w:p>
    <w:p>
      <w:pPr>
        <w:pStyle w:val="Normal"/>
        <w:jc w:val="center"/>
        <w:rPr>
          <w:b/>
        </w:rPr>
      </w:pPr>
      <w:r>
        <w:rPr>
          <w:b/>
        </w:rPr>
        <w:t>and</w:t>
      </w:r>
    </w:p>
    <w:p>
      <w:pPr>
        <w:pStyle w:val="Normal"/>
        <w:jc w:val="center"/>
        <w:rPr>
          <w:b/>
        </w:rPr>
      </w:pPr>
      <w:r>
        <w:rPr>
          <w:b/>
        </w:rPr>
        <w:t>THE CUSTOMER</w:t>
      </w:r>
    </w:p>
    <w:p>
      <w:pPr>
        <w:pStyle w:val="Normal"/>
        <w:jc w:val="center"/>
        <w:rPr>
          <w:b/>
        </w:rPr>
      </w:pPr>
      <w:r>
        <w:rPr>
          <w:b/>
        </w:rPr>
        <w:t>(the “Terms of Business”)</w:t>
      </w:r>
    </w:p>
    <w:p>
      <w:pPr>
        <w:pStyle w:val="Normal"/>
        <w:jc w:val="center"/>
        <w:rPr>
          <w:b/>
        </w:rPr>
      </w:pPr>
      <w:r>
        <w:rPr>
          <w:b/>
        </w:rPr>
      </w:r>
    </w:p>
    <w:p>
      <w:pPr>
        <w:pStyle w:val="Normal"/>
        <w:jc w:val="both"/>
        <w:rPr>
          <w:b/>
        </w:rPr>
      </w:pPr>
      <w:r>
        <w:rPr>
          <w:b/>
        </w:rPr>
      </w:r>
    </w:p>
    <w:p>
      <w:pPr>
        <w:pStyle w:val="Normal"/>
        <w:jc w:val="both"/>
        <w:rPr/>
      </w:pPr>
      <w:r>
        <w:rPr/>
        <w:t>WHEREAS the Customer has entered into the Terms of Business for the provision of various investment services by MDL and CLR.</w:t>
      </w:r>
    </w:p>
    <w:p>
      <w:pPr>
        <w:pStyle w:val="Normal"/>
        <w:jc w:val="both"/>
        <w:rPr/>
      </w:pPr>
      <w:r>
        <w:rPr/>
      </w:r>
    </w:p>
    <w:p>
      <w:pPr>
        <w:pStyle w:val="BodyText"/>
        <w:rPr/>
      </w:pPr>
      <w:r>
        <w:rPr/>
        <w:t xml:space="preserve">IT IS HEREBY AGREED that this Appendix will form the terms to all contracts for differences (as defined below) executed and arranged by MDL on behalf of the Customer.  </w:t>
      </w:r>
    </w:p>
    <w:p>
      <w:pPr>
        <w:pStyle w:val="Normal"/>
        <w:jc w:val="center"/>
        <w:rPr>
          <w:b/>
        </w:rPr>
      </w:pPr>
      <w:r>
        <w:rPr>
          <w:b/>
        </w:rPr>
      </w:r>
    </w:p>
    <w:p>
      <w:pPr>
        <w:pStyle w:val="Heading1"/>
        <w:ind w:hanging="0" w:start="0"/>
        <w:jc w:val="both"/>
        <w:rPr/>
      </w:pPr>
      <w:r>
        <w:rPr/>
        <w:t>1.</w:t>
        <w:tab/>
        <w:t>DEFINITIONS</w:t>
      </w:r>
    </w:p>
    <w:p>
      <w:pPr>
        <w:pStyle w:val="Normal"/>
        <w:jc w:val="both"/>
        <w:rPr>
          <w:b/>
        </w:rPr>
      </w:pPr>
      <w:r>
        <w:rPr>
          <w:b/>
        </w:rPr>
      </w:r>
    </w:p>
    <w:p>
      <w:pPr>
        <w:pStyle w:val="Normal"/>
        <w:ind w:start="720" w:end="0"/>
        <w:jc w:val="both"/>
        <w:rPr/>
      </w:pPr>
      <w:r>
        <w:rPr/>
        <w:t>Unless otherwise defined in this Appendix, all capitalised terms shall have the same meaning as defined in the Terms of Business.  In this Appendix the following terms shall have the following meanings:</w:t>
      </w:r>
    </w:p>
    <w:p>
      <w:pPr>
        <w:pStyle w:val="Normal"/>
        <w:jc w:val="both"/>
        <w:rPr/>
      </w:pPr>
      <w:r>
        <w:rPr/>
      </w:r>
    </w:p>
    <w:p>
      <w:pPr>
        <w:pStyle w:val="Normal"/>
        <w:ind w:start="720" w:end="0"/>
        <w:jc w:val="both"/>
        <w:rPr/>
      </w:pPr>
      <w:r>
        <w:rPr/>
        <w:t>“</w:t>
      </w:r>
      <w:r>
        <w:rPr>
          <w:b/>
        </w:rPr>
        <w:t>Business Day</w:t>
      </w:r>
      <w:r>
        <w:rPr/>
        <w:t>” means a Stock Exchange dealing day (as defined in the rules and regulations of the Stock Exchange);</w:t>
      </w:r>
    </w:p>
    <w:p>
      <w:pPr>
        <w:pStyle w:val="Normal"/>
        <w:ind w:start="1080" w:end="0"/>
        <w:jc w:val="both"/>
        <w:rPr/>
      </w:pPr>
      <w:r>
        <w:rPr/>
      </w:r>
    </w:p>
    <w:p>
      <w:pPr>
        <w:pStyle w:val="Normal"/>
        <w:ind w:start="720" w:end="0"/>
        <w:jc w:val="both"/>
        <w:rPr/>
      </w:pPr>
      <w:r>
        <w:rPr/>
        <w:t>“</w:t>
      </w:r>
      <w:r>
        <w:rPr>
          <w:b/>
        </w:rPr>
        <w:t>CFD</w:t>
      </w:r>
      <w:r>
        <w:rPr/>
        <w:t>”</w:t>
        <w:tab/>
        <w:t>or “</w:t>
      </w:r>
      <w:r>
        <w:rPr>
          <w:b/>
        </w:rPr>
        <w:t>Contract for Differences</w:t>
      </w:r>
      <w:r>
        <w:rPr/>
        <w:t>” means a contract for differences as defined in Paragraph 9, Schedule 1 of the Act which is based upon the value of  Securities;</w:t>
      </w:r>
    </w:p>
    <w:p>
      <w:pPr>
        <w:pStyle w:val="Normal"/>
        <w:ind w:start="720" w:end="0"/>
        <w:jc w:val="both"/>
        <w:rPr/>
      </w:pPr>
      <w:r>
        <w:rPr/>
      </w:r>
    </w:p>
    <w:p>
      <w:pPr>
        <w:pStyle w:val="Normal"/>
        <w:ind w:start="720" w:end="0"/>
        <w:jc w:val="both"/>
        <w:rPr/>
      </w:pPr>
      <w:r>
        <w:rPr/>
        <w:t>“</w:t>
      </w:r>
      <w:r>
        <w:rPr>
          <w:b/>
        </w:rPr>
        <w:t>Closing Date</w:t>
      </w:r>
      <w:r>
        <w:rPr/>
        <w:t>” means, in relation to a Contract, the date on which a notice to close a Contract is given in or on which the Customer accepts the Closing Price in a Contract Security or on which a Closing Date is deemed to have occurred;</w:t>
      </w:r>
    </w:p>
    <w:p>
      <w:pPr>
        <w:pStyle w:val="Normal"/>
        <w:ind w:start="1080" w:end="0"/>
        <w:jc w:val="both"/>
        <w:rPr/>
      </w:pPr>
      <w:r>
        <w:rPr/>
      </w:r>
    </w:p>
    <w:p>
      <w:pPr>
        <w:pStyle w:val="Normal"/>
        <w:ind w:start="720" w:end="0"/>
        <w:jc w:val="both"/>
        <w:rPr/>
      </w:pPr>
      <w:r>
        <w:rPr/>
        <w:t>“</w:t>
      </w:r>
      <w:r>
        <w:rPr>
          <w:b/>
        </w:rPr>
        <w:t>Closing Notice</w:t>
      </w:r>
      <w:r>
        <w:rPr/>
        <w:t>” means the notice given by one party to the other to close any Contract;</w:t>
      </w:r>
    </w:p>
    <w:p>
      <w:pPr>
        <w:pStyle w:val="Normal"/>
        <w:ind w:start="1080" w:end="0"/>
        <w:jc w:val="both"/>
        <w:rPr/>
      </w:pPr>
      <w:r>
        <w:rPr/>
      </w:r>
    </w:p>
    <w:p>
      <w:pPr>
        <w:pStyle w:val="Normal"/>
        <w:ind w:start="720" w:end="0"/>
        <w:jc w:val="both"/>
        <w:rPr/>
      </w:pPr>
      <w:r>
        <w:rPr/>
        <w:t>“</w:t>
      </w:r>
      <w:r>
        <w:rPr>
          <w:b/>
        </w:rPr>
        <w:t>Closing Price</w:t>
      </w:r>
      <w:r>
        <w:rPr/>
        <w:t>” means the Contract Security Price as determined by CLR or CLR at the time of the Closing Notice;</w:t>
      </w:r>
    </w:p>
    <w:p>
      <w:pPr>
        <w:pStyle w:val="Normal"/>
        <w:ind w:start="1080" w:end="0"/>
        <w:jc w:val="both"/>
        <w:rPr/>
      </w:pPr>
      <w:r>
        <w:rPr/>
      </w:r>
    </w:p>
    <w:p>
      <w:pPr>
        <w:pStyle w:val="Normal"/>
        <w:ind w:start="720" w:end="0"/>
        <w:jc w:val="both"/>
        <w:rPr/>
      </w:pPr>
      <w:r>
        <w:rPr/>
        <w:t>“</w:t>
      </w:r>
      <w:r>
        <w:rPr>
          <w:b/>
        </w:rPr>
        <w:t>Closing Value</w:t>
      </w:r>
      <w:r>
        <w:rPr/>
        <w:t>” means the Closing Price multiplied by the Contract Quantity;</w:t>
      </w:r>
    </w:p>
    <w:p>
      <w:pPr>
        <w:pStyle w:val="Normal"/>
        <w:jc w:val="both"/>
        <w:rPr/>
      </w:pPr>
      <w:r>
        <w:rPr/>
      </w:r>
    </w:p>
    <w:p>
      <w:pPr>
        <w:pStyle w:val="Normal"/>
        <w:ind w:start="720" w:end="0"/>
        <w:jc w:val="both"/>
        <w:rPr/>
      </w:pPr>
      <w:r>
        <w:rPr/>
        <w:t>“</w:t>
      </w:r>
      <w:r>
        <w:rPr>
          <w:b/>
        </w:rPr>
        <w:t>Commission Fee</w:t>
      </w:r>
      <w:r>
        <w:rPr/>
        <w:t>” means an amount equal to a such percentage as will be specified in the related confirmation of the Opening Price multiplied by the Contract Quantity;</w:t>
      </w:r>
    </w:p>
    <w:p>
      <w:pPr>
        <w:pStyle w:val="Normal"/>
        <w:ind w:start="1080" w:end="0"/>
        <w:jc w:val="both"/>
        <w:rPr/>
      </w:pPr>
      <w:r>
        <w:rPr/>
      </w:r>
    </w:p>
    <w:p>
      <w:pPr>
        <w:pStyle w:val="Normal"/>
        <w:ind w:start="720" w:end="0"/>
        <w:jc w:val="both"/>
        <w:rPr/>
      </w:pPr>
      <w:r>
        <w:rPr/>
        <w:t>“</w:t>
      </w:r>
      <w:r>
        <w:rPr>
          <w:b/>
        </w:rPr>
        <w:t>Contract</w:t>
      </w:r>
      <w:r>
        <w:rPr/>
        <w:t>” means a contract with a customer identified in the confirmation or contract note as a Contract for Differences or CFD;</w:t>
      </w:r>
    </w:p>
    <w:p>
      <w:pPr>
        <w:pStyle w:val="Normal"/>
        <w:ind w:start="1080" w:end="0"/>
        <w:jc w:val="both"/>
        <w:rPr/>
      </w:pPr>
      <w:r>
        <w:rPr/>
      </w:r>
    </w:p>
    <w:p>
      <w:pPr>
        <w:pStyle w:val="Normal"/>
        <w:ind w:start="720" w:end="0"/>
        <w:jc w:val="both"/>
        <w:rPr/>
      </w:pPr>
      <w:r>
        <w:rPr/>
        <w:t>“</w:t>
      </w:r>
      <w:r>
        <w:rPr>
          <w:b/>
        </w:rPr>
        <w:t>Contract Security</w:t>
      </w:r>
      <w:r>
        <w:rPr/>
        <w:t>” means the Security that forms the subject of the Contract;</w:t>
      </w:r>
    </w:p>
    <w:p>
      <w:pPr>
        <w:pStyle w:val="Normal"/>
        <w:ind w:start="1080" w:end="0"/>
        <w:jc w:val="both"/>
        <w:rPr/>
      </w:pPr>
      <w:r>
        <w:rPr/>
      </w:r>
    </w:p>
    <w:p>
      <w:pPr>
        <w:pStyle w:val="Normal"/>
        <w:ind w:start="720" w:end="0"/>
        <w:jc w:val="both"/>
        <w:rPr/>
      </w:pPr>
      <w:r>
        <w:rPr/>
        <w:t>“</w:t>
      </w:r>
      <w:r>
        <w:rPr>
          <w:b/>
        </w:rPr>
        <w:t>Contract Security Price</w:t>
      </w:r>
      <w:r>
        <w:rPr/>
        <w:t>” means the current price of the Contract Security as determined by CLR;</w:t>
      </w:r>
    </w:p>
    <w:p>
      <w:pPr>
        <w:pStyle w:val="Normal"/>
        <w:ind w:start="720" w:end="0"/>
        <w:jc w:val="both"/>
        <w:rPr/>
      </w:pPr>
      <w:r>
        <w:rPr/>
      </w:r>
    </w:p>
    <w:p>
      <w:pPr>
        <w:pStyle w:val="Normal"/>
        <w:ind w:start="720" w:end="0"/>
        <w:jc w:val="both"/>
        <w:rPr/>
      </w:pPr>
      <w:r>
        <w:rPr/>
        <w:t>“</w:t>
      </w:r>
      <w:r>
        <w:rPr>
          <w:b/>
        </w:rPr>
        <w:t>Contract Quantity</w:t>
      </w:r>
      <w:r>
        <w:rPr/>
        <w:t>” means the number of Securities to which the Contract relates;</w:t>
      </w:r>
    </w:p>
    <w:p>
      <w:pPr>
        <w:pStyle w:val="Normal"/>
        <w:ind w:start="1080" w:end="0"/>
        <w:jc w:val="both"/>
        <w:rPr/>
      </w:pPr>
      <w:r>
        <w:rPr/>
      </w:r>
    </w:p>
    <w:p>
      <w:pPr>
        <w:pStyle w:val="Normal"/>
        <w:ind w:start="720" w:end="0"/>
        <w:jc w:val="both"/>
        <w:rPr/>
      </w:pPr>
      <w:r>
        <w:rPr/>
        <w:t>“</w:t>
      </w:r>
      <w:r>
        <w:rPr>
          <w:b/>
        </w:rPr>
        <w:t>Contract Settlement Date</w:t>
      </w:r>
      <w:r>
        <w:rPr/>
        <w:t>” means the day upon which the contract is closed;</w:t>
      </w:r>
    </w:p>
    <w:p>
      <w:pPr>
        <w:pStyle w:val="Normal"/>
        <w:jc w:val="both"/>
        <w:rPr/>
      </w:pPr>
      <w:r>
        <w:rPr/>
      </w:r>
    </w:p>
    <w:p>
      <w:pPr>
        <w:pStyle w:val="Normal"/>
        <w:ind w:start="720" w:end="0"/>
        <w:jc w:val="both"/>
        <w:rPr/>
      </w:pPr>
      <w:r>
        <w:rPr/>
        <w:t>“</w:t>
      </w:r>
      <w:r>
        <w:rPr>
          <w:b/>
        </w:rPr>
        <w:t>Contract Value</w:t>
      </w:r>
      <w:r>
        <w:rPr/>
        <w:t>” means the Contract Security Price multiplied by the Contract Quantity;</w:t>
      </w:r>
    </w:p>
    <w:p>
      <w:pPr>
        <w:pStyle w:val="Normal"/>
        <w:ind w:start="1080" w:end="0"/>
        <w:jc w:val="both"/>
        <w:rPr/>
      </w:pPr>
      <w:r>
        <w:rPr/>
      </w:r>
    </w:p>
    <w:p>
      <w:pPr>
        <w:pStyle w:val="Normal"/>
        <w:ind w:start="720" w:end="0"/>
        <w:jc w:val="both"/>
        <w:rPr/>
      </w:pPr>
      <w:r>
        <w:rPr/>
        <w:t>“</w:t>
      </w:r>
      <w:r>
        <w:rPr>
          <w:b/>
        </w:rPr>
        <w:t>Interest Margin Percentage</w:t>
      </w:r>
      <w:r>
        <w:rPr/>
        <w:t>” means such  percentage as will be specified in the related contract note or confirmation;</w:t>
      </w:r>
    </w:p>
    <w:p>
      <w:pPr>
        <w:pStyle w:val="Normal"/>
        <w:ind w:start="1080" w:end="0"/>
        <w:jc w:val="both"/>
        <w:rPr/>
      </w:pPr>
      <w:r>
        <w:rPr/>
      </w:r>
    </w:p>
    <w:p>
      <w:pPr>
        <w:pStyle w:val="Normal"/>
        <w:ind w:start="720" w:end="0"/>
        <w:jc w:val="both"/>
        <w:rPr/>
      </w:pPr>
      <w:r>
        <w:rPr/>
        <w:t>“</w:t>
      </w:r>
      <w:r>
        <w:rPr>
          <w:b/>
        </w:rPr>
        <w:t>LIBID</w:t>
      </w:r>
      <w:r>
        <w:rPr/>
        <w:t xml:space="preserve">” means LIBOR minus 0.125 percent; </w:t>
      </w:r>
    </w:p>
    <w:p>
      <w:pPr>
        <w:pStyle w:val="Normal"/>
        <w:ind w:start="1080" w:end="0"/>
        <w:jc w:val="both"/>
        <w:rPr/>
      </w:pPr>
      <w:r>
        <w:rPr/>
      </w:r>
    </w:p>
    <w:p>
      <w:pPr>
        <w:pStyle w:val="Normal"/>
        <w:ind w:start="720" w:end="0"/>
        <w:jc w:val="both"/>
        <w:rPr/>
      </w:pPr>
      <w:r>
        <w:rPr/>
        <w:t>“</w:t>
      </w:r>
      <w:r>
        <w:rPr>
          <w:b/>
        </w:rPr>
        <w:t>LIBOR</w:t>
      </w:r>
      <w:r>
        <w:rPr/>
        <w:t>” means the rate for one month deposits in Sterling as determined by ISDA as at 11.00 a.m. London time, on the relevant Business Day;</w:t>
      </w:r>
    </w:p>
    <w:p>
      <w:pPr>
        <w:pStyle w:val="Normal"/>
        <w:ind w:start="1080" w:end="0"/>
        <w:jc w:val="both"/>
        <w:rPr/>
      </w:pPr>
      <w:r>
        <w:rPr/>
      </w:r>
    </w:p>
    <w:p>
      <w:pPr>
        <w:pStyle w:val="Normal"/>
        <w:ind w:start="720" w:end="0"/>
        <w:jc w:val="both"/>
        <w:rPr/>
      </w:pPr>
      <w:r>
        <w:rPr/>
        <w:t>“</w:t>
      </w:r>
      <w:r>
        <w:rPr>
          <w:b/>
        </w:rPr>
        <w:t>Long Party</w:t>
      </w:r>
      <w:r>
        <w:rPr/>
        <w:t>” means the Party identified as having notionally bought the Contract Security;</w:t>
      </w:r>
    </w:p>
    <w:p>
      <w:pPr>
        <w:pStyle w:val="Normal"/>
        <w:ind w:start="1080" w:end="0"/>
        <w:jc w:val="both"/>
        <w:rPr/>
      </w:pPr>
      <w:r>
        <w:rPr/>
      </w:r>
    </w:p>
    <w:p>
      <w:pPr>
        <w:pStyle w:val="Normal"/>
        <w:ind w:start="720" w:end="0"/>
        <w:jc w:val="both"/>
        <w:rPr/>
      </w:pPr>
      <w:r>
        <w:rPr/>
        <w:t>“</w:t>
      </w:r>
      <w:r>
        <w:rPr>
          <w:b/>
        </w:rPr>
        <w:t>Margin Percentage</w:t>
      </w:r>
      <w:r>
        <w:rPr/>
        <w:t>” means 10 percent (or such other percentage as may be specified in accordance with Section 3 of the Terms of Business);</w:t>
      </w:r>
    </w:p>
    <w:p>
      <w:pPr>
        <w:pStyle w:val="Normal"/>
        <w:ind w:start="1080" w:end="0"/>
        <w:jc w:val="both"/>
        <w:rPr/>
      </w:pPr>
      <w:r>
        <w:rPr/>
      </w:r>
    </w:p>
    <w:p>
      <w:pPr>
        <w:pStyle w:val="Normal"/>
        <w:ind w:start="720" w:end="0"/>
        <w:jc w:val="both"/>
        <w:rPr/>
      </w:pPr>
      <w:r>
        <w:rPr/>
        <w:t>“</w:t>
      </w:r>
      <w:r>
        <w:rPr>
          <w:b/>
        </w:rPr>
        <w:t>Opening Price</w:t>
      </w:r>
      <w:r>
        <w:rPr/>
        <w:t>” means the price of the Contract Security as set out in the contract note or confirmation;</w:t>
      </w:r>
    </w:p>
    <w:p>
      <w:pPr>
        <w:pStyle w:val="Normal"/>
        <w:jc w:val="both"/>
        <w:rPr/>
      </w:pPr>
      <w:r>
        <w:rPr/>
      </w:r>
    </w:p>
    <w:p>
      <w:pPr>
        <w:pStyle w:val="Normal"/>
        <w:ind w:start="720" w:end="0"/>
        <w:jc w:val="both"/>
        <w:rPr/>
      </w:pPr>
      <w:r>
        <w:rPr/>
        <w:t>“</w:t>
      </w:r>
      <w:r>
        <w:rPr>
          <w:b/>
        </w:rPr>
        <w:t>Rebate Margin Percentage</w:t>
      </w:r>
      <w:r>
        <w:rPr/>
        <w:t>” means such percentage as may be specified in the related contract note or confirmation;</w:t>
      </w:r>
    </w:p>
    <w:p>
      <w:pPr>
        <w:pStyle w:val="Normal"/>
        <w:ind w:start="1080" w:end="0"/>
        <w:jc w:val="both"/>
        <w:rPr/>
      </w:pPr>
      <w:r>
        <w:rPr/>
      </w:r>
    </w:p>
    <w:p>
      <w:pPr>
        <w:pStyle w:val="Normal"/>
        <w:ind w:start="720" w:end="0"/>
        <w:jc w:val="both"/>
        <w:rPr/>
      </w:pPr>
      <w:r>
        <w:rPr/>
        <w:t>“</w:t>
      </w:r>
      <w:r>
        <w:rPr>
          <w:b/>
        </w:rPr>
        <w:t>Security</w:t>
      </w:r>
      <w:r>
        <w:rPr/>
        <w:t>” means a share (or other registered instrument) in a company listed on the Stock Exchange or other Exchange;</w:t>
      </w:r>
    </w:p>
    <w:p>
      <w:pPr>
        <w:pStyle w:val="Normal"/>
        <w:ind w:start="1080" w:end="0"/>
        <w:jc w:val="both"/>
        <w:rPr/>
      </w:pPr>
      <w:r>
        <w:rPr/>
      </w:r>
    </w:p>
    <w:p>
      <w:pPr>
        <w:pStyle w:val="Normal"/>
        <w:ind w:start="720" w:end="0"/>
        <w:jc w:val="both"/>
        <w:rPr/>
      </w:pPr>
      <w:r>
        <w:rPr/>
        <w:t>“</w:t>
      </w:r>
      <w:r>
        <w:rPr>
          <w:b/>
        </w:rPr>
        <w:t>Short Party</w:t>
      </w:r>
      <w:r>
        <w:rPr/>
        <w:t>” means the party identified as having notionally sold the Contract Security; and</w:t>
      </w:r>
    </w:p>
    <w:p>
      <w:pPr>
        <w:pStyle w:val="Normal"/>
        <w:ind w:start="1080" w:end="0"/>
        <w:jc w:val="both"/>
        <w:rPr/>
      </w:pPr>
      <w:r>
        <w:rPr/>
      </w:r>
    </w:p>
    <w:p>
      <w:pPr>
        <w:pStyle w:val="Normal"/>
        <w:ind w:start="720" w:end="0"/>
        <w:jc w:val="both"/>
        <w:rPr/>
      </w:pPr>
      <w:r>
        <w:rPr/>
        <w:t>“</w:t>
      </w:r>
      <w:r>
        <w:rPr>
          <w:b/>
        </w:rPr>
        <w:t>Stock Exchange</w:t>
      </w:r>
      <w:r>
        <w:rPr/>
        <w:t>” means London Stock Exchange Limited.</w:t>
      </w:r>
    </w:p>
    <w:p>
      <w:pPr>
        <w:pStyle w:val="Normal"/>
        <w:jc w:val="both"/>
        <w:rPr/>
      </w:pPr>
      <w:r>
        <w:rPr/>
      </w:r>
      <w:r>
        <w:br w:type="page"/>
      </w:r>
    </w:p>
    <w:p>
      <w:pPr>
        <w:pStyle w:val="Heading1"/>
        <w:tabs>
          <w:tab w:val="left" w:pos="720" w:leader="none"/>
        </w:tabs>
        <w:ind w:hanging="0" w:start="0"/>
        <w:jc w:val="both"/>
        <w:rPr/>
      </w:pPr>
      <w:r>
        <w:rPr/>
        <w:t>2.</w:t>
        <w:tab/>
        <w:t>GENERAL</w:t>
      </w:r>
    </w:p>
    <w:p>
      <w:pPr>
        <w:pStyle w:val="Normal"/>
        <w:jc w:val="both"/>
        <w:rPr/>
      </w:pPr>
      <w:r>
        <w:rPr/>
      </w:r>
    </w:p>
    <w:p>
      <w:pPr>
        <w:pStyle w:val="Normal"/>
        <w:ind w:hanging="720" w:start="720" w:end="0"/>
        <w:jc w:val="both"/>
        <w:rPr/>
      </w:pPr>
      <w:r>
        <w:rPr/>
        <w:t>2.1</w:t>
        <w:tab/>
        <w:t>This Appendix relates to Contracts entered into between MDL and the Customer which are identified in the contract note or confirmation as Contracts for Differences or CFDs and the provisions of this Appendix shall apply to all such dealings, herein called the “Contract”.  Unless otherwise stated in the confirmation, such Contracts shall be for a period of 360 days from the day on which the parties enter into the Contract.</w:t>
      </w:r>
    </w:p>
    <w:p>
      <w:pPr>
        <w:pStyle w:val="Normal"/>
        <w:jc w:val="both"/>
        <w:rPr/>
      </w:pPr>
      <w:r>
        <w:rPr/>
      </w:r>
    </w:p>
    <w:p>
      <w:pPr>
        <w:pStyle w:val="Normal"/>
        <w:ind w:hanging="720" w:start="720" w:end="0"/>
        <w:jc w:val="both"/>
        <w:rPr/>
      </w:pPr>
      <w:r>
        <w:rPr/>
        <w:t>2.2</w:t>
        <w:tab/>
        <w:t>The confirmation sent by MDL to the Customer will be deemed to be an accurate reflection of the Contract and acceptance by the Customer in full of its terms, unless the Customer notifies MDL of any request for amendment thereto in accordance with Clause 3.1 of the Terms of Business.</w:t>
      </w:r>
    </w:p>
    <w:p>
      <w:pPr>
        <w:pStyle w:val="Normal"/>
        <w:ind w:hanging="720" w:start="720" w:end="0"/>
        <w:jc w:val="both"/>
        <w:rPr/>
      </w:pPr>
      <w:r>
        <w:rPr/>
      </w:r>
    </w:p>
    <w:p>
      <w:pPr>
        <w:pStyle w:val="Normal"/>
        <w:ind w:hanging="720" w:start="720" w:end="0"/>
        <w:jc w:val="both"/>
        <w:rPr/>
      </w:pPr>
      <w:r>
        <w:rPr/>
        <w:t>2.3</w:t>
        <w:tab/>
        <w:t>The Customer agrees and understands that, aside from the obligations which relate to execution and arrangement by MDL of the Contract, all the rights and obligations of the Customer’s counterparty under the Contract will be assumed by CLR.</w:t>
      </w:r>
    </w:p>
    <w:p>
      <w:pPr>
        <w:pStyle w:val="Normal"/>
        <w:jc w:val="both"/>
        <w:rPr/>
      </w:pPr>
      <w:r>
        <w:rPr/>
      </w:r>
    </w:p>
    <w:p>
      <w:pPr>
        <w:pStyle w:val="Heading1"/>
        <w:ind w:hanging="0" w:start="0"/>
        <w:jc w:val="both"/>
        <w:rPr/>
      </w:pPr>
      <w:r>
        <w:rPr/>
        <w:t>3.</w:t>
        <w:tab/>
        <w:t>DIFFERENCE PAYMENT</w:t>
      </w:r>
    </w:p>
    <w:p>
      <w:pPr>
        <w:pStyle w:val="Normal"/>
        <w:jc w:val="both"/>
        <w:rPr>
          <w:b/>
        </w:rPr>
      </w:pPr>
      <w:r>
        <w:rPr>
          <w:b/>
        </w:rPr>
      </w:r>
    </w:p>
    <w:p>
      <w:pPr>
        <w:pStyle w:val="Normal"/>
        <w:ind w:hanging="720" w:start="720" w:end="0"/>
        <w:jc w:val="both"/>
        <w:rPr/>
      </w:pPr>
      <w:r>
        <w:rPr/>
        <w:t>3.1</w:t>
        <w:tab/>
        <w:t>Commencing on the first Business day after the parties have entered into the Contract, and on each Business Day thereafter during the term of the Contract, CLR will determine the Contract Value thereof.</w:t>
      </w:r>
    </w:p>
    <w:p>
      <w:pPr>
        <w:pStyle w:val="Normal"/>
        <w:ind w:hanging="720" w:start="720" w:end="0"/>
        <w:jc w:val="both"/>
        <w:rPr/>
      </w:pPr>
      <w:r>
        <w:rPr/>
      </w:r>
    </w:p>
    <w:p>
      <w:pPr>
        <w:pStyle w:val="Normal"/>
        <w:ind w:hanging="720" w:start="720" w:end="0"/>
        <w:jc w:val="both"/>
        <w:rPr/>
      </w:pPr>
      <w:r>
        <w:rPr/>
        <w:t>3.2</w:t>
        <w:tab/>
        <w:t>If, on any Business Day during the term of the Contract, the current Contract Value exceeds the preceding Business Day’s Contract Value, then:</w:t>
      </w:r>
    </w:p>
    <w:p>
      <w:pPr>
        <w:pStyle w:val="Normal"/>
        <w:ind w:hanging="720" w:start="720" w:end="0"/>
        <w:jc w:val="both"/>
        <w:rPr/>
      </w:pPr>
      <w:r>
        <w:rPr/>
      </w:r>
    </w:p>
    <w:p>
      <w:pPr>
        <w:pStyle w:val="Normal"/>
        <w:ind w:hanging="720" w:start="1440" w:end="0"/>
        <w:jc w:val="both"/>
        <w:rPr/>
      </w:pPr>
      <w:r>
        <w:rPr/>
        <w:t>3.2.1</w:t>
        <w:tab/>
        <w:t>if the Customer is the Short Party,  the Customer shall pay CLR such excess; and</w:t>
      </w:r>
    </w:p>
    <w:p>
      <w:pPr>
        <w:pStyle w:val="Normal"/>
        <w:ind w:hanging="720" w:start="1440" w:end="0"/>
        <w:jc w:val="both"/>
        <w:rPr/>
      </w:pPr>
      <w:r>
        <w:rPr/>
      </w:r>
    </w:p>
    <w:p>
      <w:pPr>
        <w:pStyle w:val="Normal"/>
        <w:ind w:hanging="720" w:start="1440" w:end="0"/>
        <w:jc w:val="both"/>
        <w:rPr/>
      </w:pPr>
      <w:r>
        <w:rPr/>
        <w:t>3.2.2</w:t>
        <w:tab/>
        <w:t>if CLR is the Short Party, then such excess shall be posted to the Customer’s account.</w:t>
      </w:r>
    </w:p>
    <w:p>
      <w:pPr>
        <w:pStyle w:val="Normal"/>
        <w:ind w:hanging="720" w:start="720" w:end="0"/>
        <w:jc w:val="both"/>
        <w:rPr/>
      </w:pPr>
      <w:r>
        <w:rPr/>
      </w:r>
    </w:p>
    <w:p>
      <w:pPr>
        <w:pStyle w:val="Normal"/>
        <w:ind w:hanging="720" w:start="720" w:end="0"/>
        <w:jc w:val="both"/>
        <w:rPr/>
      </w:pPr>
      <w:r>
        <w:rPr/>
        <w:t>3.3</w:t>
        <w:tab/>
        <w:t>If, on any Business Day during the term of the Contract, the preceding Business Day’s Contract Value exceeds the current Contract Value, then:</w:t>
      </w:r>
    </w:p>
    <w:p>
      <w:pPr>
        <w:pStyle w:val="Normal"/>
        <w:ind w:hanging="720" w:start="720" w:end="0"/>
        <w:jc w:val="both"/>
        <w:rPr/>
      </w:pPr>
      <w:r>
        <w:rPr/>
      </w:r>
    </w:p>
    <w:p>
      <w:pPr>
        <w:pStyle w:val="Normal"/>
        <w:ind w:hanging="720" w:start="1440" w:end="0"/>
        <w:jc w:val="both"/>
        <w:rPr/>
      </w:pPr>
      <w:r>
        <w:rPr/>
        <w:t>3.3.1</w:t>
        <w:tab/>
        <w:t>if the Customer is the Long Party,  the Customer shall pay CLR such excess; and</w:t>
      </w:r>
    </w:p>
    <w:p>
      <w:pPr>
        <w:pStyle w:val="Normal"/>
        <w:ind w:hanging="720" w:start="1440" w:end="0"/>
        <w:jc w:val="both"/>
        <w:rPr/>
      </w:pPr>
      <w:r>
        <w:rPr/>
      </w:r>
    </w:p>
    <w:p>
      <w:pPr>
        <w:pStyle w:val="Normal"/>
        <w:ind w:hanging="720" w:start="1440" w:end="0"/>
        <w:jc w:val="both"/>
        <w:rPr/>
      </w:pPr>
      <w:r>
        <w:rPr/>
        <w:t>3.3.2</w:t>
        <w:tab/>
        <w:t>if CLR is the Long Party, then such excess shall be posted to the Customer’s account.</w:t>
      </w:r>
    </w:p>
    <w:p>
      <w:pPr>
        <w:pStyle w:val="Normal"/>
        <w:ind w:start="720" w:end="0"/>
        <w:jc w:val="both"/>
        <w:rPr/>
      </w:pPr>
      <w:r>
        <w:rPr/>
        <w:t xml:space="preserve"> </w:t>
      </w:r>
    </w:p>
    <w:p>
      <w:pPr>
        <w:pStyle w:val="Normal"/>
        <w:ind w:hanging="720" w:start="720" w:end="0"/>
        <w:jc w:val="both"/>
        <w:rPr/>
      </w:pPr>
      <w:r>
        <w:rPr/>
        <w:t>3.4</w:t>
        <w:tab/>
        <w:t xml:space="preserve">CLR shall pay the Customer interest on any amounts received from the Customer in accordance with the terms of Clauses 3.2.1 and 3.3.1 at a rate to be specified from time to time by CLR; CLR shall pay no interest on the amounts posted to the Customer’s account in accordance with Clauses 3.2.2 and 3.3.2.  </w:t>
      </w:r>
    </w:p>
    <w:p>
      <w:pPr>
        <w:pStyle w:val="Normal"/>
        <w:jc w:val="both"/>
        <w:rPr/>
      </w:pPr>
      <w:r>
        <w:rPr/>
      </w:r>
    </w:p>
    <w:p>
      <w:pPr>
        <w:pStyle w:val="Normal"/>
        <w:ind w:hanging="720" w:start="720" w:end="0"/>
        <w:jc w:val="both"/>
        <w:rPr/>
      </w:pPr>
      <w:r>
        <w:rPr/>
        <w:t>3.5</w:t>
        <w:tab/>
        <w:t xml:space="preserve">If the Customer so requests and CLR, in its absolute discretion, agrees, any excess which would otherwise be posted by CLR to the Customer’s account in accordance with the terms of Clauses 3.2.2 and 3.3.2 will be paid directly to the Customer (less the Margin Percentage).  </w:t>
      </w:r>
    </w:p>
    <w:p>
      <w:pPr>
        <w:pStyle w:val="Normal"/>
        <w:jc w:val="both"/>
        <w:rPr/>
      </w:pPr>
      <w:r>
        <w:rPr/>
      </w:r>
    </w:p>
    <w:p>
      <w:pPr>
        <w:pStyle w:val="Normal"/>
        <w:ind w:hanging="720" w:start="720" w:end="0"/>
        <w:jc w:val="both"/>
        <w:rPr/>
      </w:pPr>
      <w:r>
        <w:rPr/>
        <w:t>3.6</w:t>
        <w:tab/>
        <w:t xml:space="preserve">The Customer shall pay CLR interest, at a rate to be agreed between the Customer and CLR, on any amounts paid by CLR to the Customer in accordance with the terms of Clause 3.5.  </w:t>
      </w:r>
    </w:p>
    <w:p>
      <w:pPr>
        <w:pStyle w:val="Normal"/>
        <w:jc w:val="both"/>
        <w:rPr/>
      </w:pPr>
      <w:r>
        <w:rPr/>
      </w:r>
    </w:p>
    <w:p>
      <w:pPr>
        <w:pStyle w:val="BodyTextIndent"/>
        <w:jc w:val="both"/>
        <w:rPr>
          <w:b/>
        </w:rPr>
      </w:pPr>
      <w:r>
        <w:rPr>
          <w:b/>
        </w:rPr>
        <w:t>4.</w:t>
        <w:tab/>
        <w:t>MARGIN</w:t>
      </w:r>
    </w:p>
    <w:p>
      <w:pPr>
        <w:pStyle w:val="BodyTextIndent"/>
        <w:jc w:val="both"/>
        <w:rPr>
          <w:b/>
        </w:rPr>
      </w:pPr>
      <w:r>
        <w:rPr>
          <w:b/>
        </w:rPr>
      </w:r>
    </w:p>
    <w:p>
      <w:pPr>
        <w:pStyle w:val="BodyTextIndent"/>
        <w:jc w:val="both"/>
        <w:rPr/>
      </w:pPr>
      <w:r>
        <w:rPr/>
        <w:t>4.1</w:t>
        <w:tab/>
        <w:t>In addition to the payments to be made under Clause 3 hereof, the following payments shall be made by the Customer.</w:t>
      </w:r>
    </w:p>
    <w:p>
      <w:pPr>
        <w:pStyle w:val="Normal"/>
        <w:jc w:val="both"/>
        <w:rPr/>
      </w:pPr>
      <w:r>
        <w:rPr/>
      </w:r>
    </w:p>
    <w:p>
      <w:pPr>
        <w:pStyle w:val="Normal"/>
        <w:ind w:hanging="720" w:start="720" w:end="0"/>
        <w:jc w:val="both"/>
        <w:rPr/>
      </w:pPr>
      <w:r>
        <w:rPr/>
        <w:t>4.2</w:t>
        <w:tab/>
        <w:t>The Customer shall pay to CLR on the first Business Day of the term of the Contract an amount equal to the product of the Opening Price multiplied by the Contract Quantity applied to the Margin Percentage.</w:t>
      </w:r>
    </w:p>
    <w:p>
      <w:pPr>
        <w:pStyle w:val="Normal"/>
        <w:jc w:val="both"/>
        <w:rPr/>
      </w:pPr>
      <w:r>
        <w:rPr/>
      </w:r>
    </w:p>
    <w:p>
      <w:pPr>
        <w:pStyle w:val="BodyTextIndent"/>
        <w:jc w:val="both"/>
        <w:rPr/>
      </w:pPr>
      <w:r>
        <w:rPr/>
        <w:t>4.3</w:t>
        <w:tab/>
        <w:t>One Business Day after the Contract Settlement Date of the Contract, CLR shall post to the Customer’s account all amounts received from the Customer in respect of such Contract in accordance with Clause 4.1, or in the case of a Contract Settlement Date which relates to part only of a Contract, the appropriate proportion calculated pro rata.</w:t>
      </w:r>
    </w:p>
    <w:p>
      <w:pPr>
        <w:pStyle w:val="Normal"/>
        <w:jc w:val="both"/>
        <w:rPr/>
      </w:pPr>
      <w:r>
        <w:rPr/>
      </w:r>
    </w:p>
    <w:p>
      <w:pPr>
        <w:pStyle w:val="Normal"/>
        <w:jc w:val="both"/>
        <w:rPr>
          <w:b/>
        </w:rPr>
      </w:pPr>
      <w:r>
        <w:rPr>
          <w:b/>
        </w:rPr>
        <w:t>5.</w:t>
        <w:tab/>
        <w:t>INTEREST PAYMENTS</w:t>
      </w:r>
    </w:p>
    <w:p>
      <w:pPr>
        <w:pStyle w:val="Normal"/>
        <w:jc w:val="both"/>
        <w:rPr>
          <w:b/>
        </w:rPr>
      </w:pPr>
      <w:r>
        <w:rPr>
          <w:b/>
        </w:rPr>
      </w:r>
    </w:p>
    <w:p>
      <w:pPr>
        <w:pStyle w:val="Normal"/>
        <w:ind w:hanging="720" w:start="720" w:end="0"/>
        <w:jc w:val="both"/>
        <w:rPr/>
      </w:pPr>
      <w:r>
        <w:rPr/>
        <w:t>5.1</w:t>
        <w:tab/>
        <w:t>On each Business Day on which a Contract is open, CLR will calculate interest payments as follows:</w:t>
      </w:r>
    </w:p>
    <w:p>
      <w:pPr>
        <w:pStyle w:val="Normal"/>
        <w:jc w:val="both"/>
        <w:rPr/>
      </w:pPr>
      <w:r>
        <w:rPr/>
      </w:r>
    </w:p>
    <w:p>
      <w:pPr>
        <w:pStyle w:val="Normal"/>
        <w:ind w:hanging="720" w:start="1440" w:end="0"/>
        <w:jc w:val="both"/>
        <w:rPr/>
      </w:pPr>
      <w:r>
        <w:rPr/>
        <w:t>5.1.1</w:t>
        <w:tab/>
        <w:t>where CLR is the Long Party, it will pay to the Customer an amount equal to the product of the Opening Price multiplied by the Contract Quantity applied to the product of LIBID minus the Rebate Margin Percentage; and</w:t>
      </w:r>
    </w:p>
    <w:p>
      <w:pPr>
        <w:pStyle w:val="Normal"/>
        <w:ind w:hanging="720" w:start="720" w:end="0"/>
        <w:jc w:val="both"/>
        <w:rPr/>
      </w:pPr>
      <w:r>
        <w:rPr/>
      </w:r>
    </w:p>
    <w:p>
      <w:pPr>
        <w:pStyle w:val="Normal"/>
        <w:ind w:hanging="720" w:start="1440" w:end="0"/>
        <w:jc w:val="both"/>
        <w:rPr/>
      </w:pPr>
      <w:r>
        <w:rPr/>
        <w:t>5.1.2</w:t>
        <w:tab/>
        <w:t>where the Customer is the Long Party, it will pay to CLR an amount equal to the product of the Opening Price multiplied by the Contract Quantity applied to the product of LIBOR plus the Interest Margin Percentage.</w:t>
      </w:r>
    </w:p>
    <w:p>
      <w:pPr>
        <w:pStyle w:val="Normal"/>
        <w:ind w:hanging="720" w:start="720" w:end="0"/>
        <w:jc w:val="both"/>
        <w:rPr/>
      </w:pPr>
      <w:r>
        <w:rPr/>
      </w:r>
    </w:p>
    <w:p>
      <w:pPr>
        <w:pStyle w:val="Normal"/>
        <w:ind w:hanging="720" w:start="720" w:end="0"/>
        <w:jc w:val="both"/>
        <w:rPr/>
      </w:pPr>
      <w:r>
        <w:rPr/>
        <w:t>5.2</w:t>
        <w:tab/>
        <w:t>CLR will pay the Customer interest on all amounts which are paid by the Customer under Clause 4 at a rate of to be specified from time to time by CLR.</w:t>
      </w:r>
    </w:p>
    <w:p>
      <w:pPr>
        <w:pStyle w:val="Normal"/>
        <w:ind w:hanging="720" w:start="720" w:end="0"/>
        <w:jc w:val="both"/>
        <w:rPr/>
      </w:pPr>
      <w:r>
        <w:rPr/>
      </w:r>
    </w:p>
    <w:p>
      <w:pPr>
        <w:pStyle w:val="Normal"/>
        <w:ind w:hanging="720" w:start="720" w:end="0"/>
        <w:jc w:val="both"/>
        <w:rPr/>
      </w:pPr>
      <w:r>
        <w:rPr/>
        <w:t>5.3</w:t>
        <w:tab/>
        <w:t>All amounts of interest which are payable in accordance with Clauses 5.1 and 5.2 shall accrue from day to day and shall be payable monthly in arrears on the second Business Day of each month (or sooner, if requested by CLR) by the party required to make the payments.</w:t>
      </w:r>
    </w:p>
    <w:p>
      <w:pPr>
        <w:pStyle w:val="Normal"/>
        <w:jc w:val="both"/>
        <w:rPr/>
      </w:pPr>
      <w:r>
        <w:rPr/>
      </w:r>
      <w:r>
        <w:br w:type="page"/>
      </w:r>
    </w:p>
    <w:p>
      <w:pPr>
        <w:pStyle w:val="Normal"/>
        <w:ind w:hanging="720" w:start="720" w:end="0"/>
        <w:jc w:val="both"/>
        <w:rPr>
          <w:b/>
        </w:rPr>
      </w:pPr>
      <w:r>
        <w:rPr>
          <w:b/>
        </w:rPr>
        <w:t>6.</w:t>
        <w:tab/>
        <w:t>PAYMENT OF COMMISSION FEE</w:t>
      </w:r>
    </w:p>
    <w:p>
      <w:pPr>
        <w:pStyle w:val="Normal"/>
        <w:ind w:hanging="720" w:start="720" w:end="0"/>
        <w:jc w:val="both"/>
        <w:rPr/>
      </w:pPr>
      <w:r>
        <w:rPr/>
      </w:r>
    </w:p>
    <w:p>
      <w:pPr>
        <w:pStyle w:val="Normal"/>
        <w:ind w:hanging="720" w:start="720" w:end="0"/>
        <w:jc w:val="both"/>
        <w:rPr/>
      </w:pPr>
      <w:r>
        <w:rPr/>
        <w:t>6.1</w:t>
        <w:tab/>
        <w:t>On the first Business Day after the parties have entered into a Contract, the Customer shall pay the Commission Fee as set out in the contract note or confirmation in respect thereof.</w:t>
      </w:r>
    </w:p>
    <w:p>
      <w:pPr>
        <w:pStyle w:val="Normal"/>
        <w:ind w:hanging="720" w:start="720" w:end="0"/>
        <w:jc w:val="both"/>
        <w:rPr/>
      </w:pPr>
      <w:r>
        <w:rPr/>
      </w:r>
    </w:p>
    <w:p>
      <w:pPr>
        <w:pStyle w:val="Normal"/>
        <w:ind w:hanging="720" w:start="720" w:end="0"/>
        <w:jc w:val="both"/>
        <w:rPr/>
      </w:pPr>
      <w:r>
        <w:rPr>
          <w:b/>
        </w:rPr>
        <w:t>7.</w:t>
      </w:r>
      <w:r>
        <w:rPr/>
        <w:tab/>
      </w:r>
      <w:r>
        <w:rPr>
          <w:b/>
        </w:rPr>
        <w:t>DIVIDENDS</w:t>
      </w:r>
    </w:p>
    <w:p>
      <w:pPr>
        <w:pStyle w:val="Normal"/>
        <w:ind w:hanging="720" w:start="720" w:end="0"/>
        <w:jc w:val="both"/>
        <w:rPr/>
      </w:pPr>
      <w:r>
        <w:rPr/>
      </w:r>
    </w:p>
    <w:p>
      <w:pPr>
        <w:pStyle w:val="Normal"/>
        <w:ind w:hanging="720" w:start="720" w:end="0"/>
        <w:jc w:val="both"/>
        <w:rPr/>
      </w:pPr>
      <w:r>
        <w:rPr/>
        <w:t>7.1</w:t>
        <w:tab/>
        <w:t>During the term of a Contract, the Short Party will pay the Long Party an amount equivalent to any dividend which would be payable on the Contract Security.  Such payments shall be paid as follows:</w:t>
      </w:r>
    </w:p>
    <w:p>
      <w:pPr>
        <w:pStyle w:val="Normal"/>
        <w:jc w:val="both"/>
        <w:rPr/>
      </w:pPr>
      <w:r>
        <w:rPr/>
      </w:r>
    </w:p>
    <w:p>
      <w:pPr>
        <w:pStyle w:val="Normal"/>
        <w:numPr>
          <w:ilvl w:val="2"/>
          <w:numId w:val="3"/>
        </w:numPr>
        <w:jc w:val="both"/>
        <w:rPr/>
      </w:pPr>
      <w:r>
        <w:rPr/>
        <w:t xml:space="preserve">where the Customer is the Long Party: a sum equivalent to 90% of the gross dividend; </w:t>
      </w:r>
    </w:p>
    <w:p>
      <w:pPr>
        <w:pStyle w:val="Normal"/>
        <w:ind w:start="1080" w:end="0"/>
        <w:jc w:val="both"/>
        <w:rPr/>
      </w:pPr>
      <w:r>
        <w:rPr/>
      </w:r>
    </w:p>
    <w:p>
      <w:pPr>
        <w:pStyle w:val="Normal"/>
        <w:numPr>
          <w:ilvl w:val="2"/>
          <w:numId w:val="3"/>
        </w:numPr>
        <w:jc w:val="both"/>
        <w:rPr/>
      </w:pPr>
      <w:r>
        <w:rPr/>
        <w:t>where the Customer is the Short Party: a sum equivalent to 100% of the gross dividend;</w:t>
      </w:r>
    </w:p>
    <w:p>
      <w:pPr>
        <w:pStyle w:val="Normal"/>
        <w:jc w:val="both"/>
        <w:rPr/>
      </w:pPr>
      <w:r>
        <w:rPr/>
      </w:r>
    </w:p>
    <w:p>
      <w:pPr>
        <w:pStyle w:val="BodyTextIndent3"/>
        <w:jc w:val="both"/>
        <w:rPr/>
      </w:pPr>
      <w:r>
        <w:rPr/>
        <w:t>and payment thereof shall be paid by the party required to make the payment within two Business Days of the ex-dividend date.  Where CLR is required to make a payment to the Customer, it shall do so by posting such amounts to the Customer’s account.</w:t>
      </w:r>
    </w:p>
    <w:p>
      <w:pPr>
        <w:pStyle w:val="Normal"/>
        <w:jc w:val="both"/>
        <w:rPr/>
      </w:pPr>
      <w:r>
        <w:rPr/>
      </w:r>
    </w:p>
    <w:p>
      <w:pPr>
        <w:pStyle w:val="Normal"/>
        <w:ind w:hanging="720" w:start="720" w:end="0"/>
        <w:jc w:val="both"/>
        <w:rPr/>
      </w:pPr>
      <w:r>
        <w:rPr/>
        <w:t>7.2</w:t>
        <w:tab/>
        <w:t>In the event that CLR determines in its sole discretion that there has been any change in, or any change in the interpretation or application by any court, governmental or other competent authority of any applicable law or regulation which has the effect of reducing or increasing the amount of the ordinary cash dividend actually paid to a UK tax-resident holder of a Security, CLR may vary the dividend payment with immediate effect by notice in writing to the Customer.</w:t>
      </w:r>
    </w:p>
    <w:p>
      <w:pPr>
        <w:pStyle w:val="Normal"/>
        <w:jc w:val="both"/>
        <w:rPr/>
      </w:pPr>
      <w:r>
        <w:rPr/>
      </w:r>
    </w:p>
    <w:p>
      <w:pPr>
        <w:pStyle w:val="BodyTextIndent"/>
        <w:jc w:val="both"/>
        <w:rPr>
          <w:b/>
        </w:rPr>
      </w:pPr>
      <w:r>
        <w:rPr>
          <w:b/>
        </w:rPr>
        <w:t>8.</w:t>
        <w:tab/>
        <w:t>CLOSING A CONTRACT</w:t>
      </w:r>
    </w:p>
    <w:p>
      <w:pPr>
        <w:pStyle w:val="Normal"/>
        <w:jc w:val="both"/>
        <w:rPr>
          <w:b/>
        </w:rPr>
      </w:pPr>
      <w:r>
        <w:rPr>
          <w:b/>
        </w:rPr>
      </w:r>
    </w:p>
    <w:p>
      <w:pPr>
        <w:pStyle w:val="BodyTextIndent"/>
        <w:jc w:val="both"/>
        <w:rPr/>
      </w:pPr>
      <w:r>
        <w:rPr/>
        <w:t>8.1</w:t>
        <w:tab/>
        <w:t xml:space="preserve">On any Business Day on which the Customer wishes to close any Contract (whether in whole or in part) it will serve a Closing Notice upon MDL, specifying the Contract, the Contract Security and the Contract Quantity.  Such Closing Notice shall take immediate effect and all Contracts will be closed on a first-in-first-out basis (or as otherwise agreed). </w:t>
      </w:r>
    </w:p>
    <w:p>
      <w:pPr>
        <w:pStyle w:val="Normal"/>
        <w:jc w:val="both"/>
        <w:rPr/>
      </w:pPr>
      <w:r>
        <w:rPr/>
      </w:r>
    </w:p>
    <w:p>
      <w:pPr>
        <w:pStyle w:val="Normal"/>
        <w:ind w:hanging="720" w:start="720" w:end="0"/>
        <w:jc w:val="both"/>
        <w:rPr/>
      </w:pPr>
      <w:r>
        <w:rPr/>
        <w:t>8.2</w:t>
        <w:tab/>
        <w:t>Following closure of the Contract, MDL will prepare a contract note or confirmation in accordance with Clause 2.</w:t>
      </w:r>
    </w:p>
    <w:p>
      <w:pPr>
        <w:pStyle w:val="Normal"/>
        <w:jc w:val="both"/>
        <w:rPr/>
      </w:pPr>
      <w:r>
        <w:rPr/>
      </w:r>
    </w:p>
    <w:p>
      <w:pPr>
        <w:pStyle w:val="Normal"/>
        <w:ind w:hanging="720" w:start="720" w:end="0"/>
        <w:jc w:val="both"/>
        <w:rPr/>
      </w:pPr>
      <w:r>
        <w:rPr/>
        <w:t>8.3</w:t>
        <w:tab/>
        <w:t>If no such Closing Notice is served by either the Customer or CLR or MDL within 360 days of the day on which any particular Contract is opened (or, if such day is not a Business Day, the immediately following Business Day) then such Closing Notice will be deemed to have been given in respect of the whole of that Contract and, accordingly, a Contract Date will be deemed to have occurred on such Business Day.</w:t>
      </w:r>
    </w:p>
    <w:p>
      <w:pPr>
        <w:pStyle w:val="Normal"/>
        <w:jc w:val="both"/>
        <w:rPr/>
      </w:pPr>
      <w:r>
        <w:rPr/>
      </w:r>
    </w:p>
    <w:p>
      <w:pPr>
        <w:pStyle w:val="Normal"/>
        <w:ind w:hanging="720" w:start="720" w:end="0"/>
        <w:jc w:val="both"/>
        <w:rPr/>
      </w:pPr>
      <w:r>
        <w:rPr/>
        <w:t>8.4</w:t>
        <w:tab/>
        <w:t>Following receipt of a Closing Notice, MDL shall inform the Customer of the Closing Price of the Contract and the Contract will be terminated on the Closing Date which MDL shall confirm in writing to the Customer.  All amounts due or payable to the Customer shall be posted to the Customer’s account.</w:t>
      </w:r>
    </w:p>
    <w:p>
      <w:pPr>
        <w:pStyle w:val="Normal"/>
        <w:ind w:hanging="720" w:start="720" w:end="0"/>
        <w:jc w:val="both"/>
        <w:rPr/>
      </w:pPr>
      <w:r>
        <w:rPr/>
      </w:r>
    </w:p>
    <w:p>
      <w:pPr>
        <w:pStyle w:val="Normal"/>
        <w:ind w:hanging="720" w:start="720" w:end="0"/>
        <w:jc w:val="both"/>
        <w:rPr/>
      </w:pPr>
      <w:r>
        <w:rPr/>
        <w:t>8.5</w:t>
        <w:tab/>
        <w:t>Any amounts which are due under Clause 5, but which have not yet been paid as of the Closing Date, will be debited or credited to the Customer’s account with CLR on the second Business Day of the following month unless the Customer is closing its account with CLR, in which case all such amounts which are payable by the Customer will be netted off against any amounts owed by CLR and any amounts remaining will be paid within five Business Days of the Closing Date.</w:t>
      </w:r>
    </w:p>
    <w:p>
      <w:pPr>
        <w:pStyle w:val="Normal"/>
        <w:jc w:val="both"/>
        <w:rPr/>
      </w:pPr>
      <w:r>
        <w:rPr/>
      </w:r>
    </w:p>
    <w:p>
      <w:pPr>
        <w:pStyle w:val="Normal"/>
        <w:ind w:hanging="720" w:start="720" w:end="0"/>
        <w:jc w:val="both"/>
        <w:rPr/>
      </w:pPr>
      <w:r>
        <w:rPr/>
        <w:t>8.6</w:t>
        <w:tab/>
        <w:t xml:space="preserve">Where the Customer fails to make any payments under this Appendix, or if an Event of Default, as defined in the Terms of Business, should occur in relation to the Customer, then CLR shall be entitled to close all Contracts it has outstanding with the Customer and the terms of this Clause shall apply in respect of the closing of such Contracts in conjunction with the provisions of Clause 10 of the Terms of Business. </w:t>
      </w:r>
    </w:p>
    <w:p>
      <w:pPr>
        <w:pStyle w:val="Normal"/>
        <w:ind w:hanging="720" w:start="720" w:end="0"/>
        <w:jc w:val="both"/>
        <w:rPr/>
      </w:pPr>
      <w:r>
        <w:rPr/>
      </w:r>
    </w:p>
    <w:p>
      <w:pPr>
        <w:pStyle w:val="Normal"/>
        <w:ind w:hanging="720" w:start="720" w:end="0"/>
        <w:jc w:val="both"/>
        <w:rPr/>
      </w:pPr>
      <w:r>
        <w:rPr/>
        <w:t>8.7</w:t>
        <w:tab/>
        <w:t>If CLR is unable to arrange the borrowing or the maintenance of any borrowing of a Contract Security or, for any other reason deemed necessary by CLR and/or MDL, in its or their sole discretion, acting reasonably, then CLR shall serve a Closing Notice on the Customer which shall take immediate effect.</w:t>
      </w:r>
    </w:p>
    <w:p>
      <w:pPr>
        <w:pStyle w:val="Normal"/>
        <w:jc w:val="both"/>
        <w:rPr/>
      </w:pPr>
      <w:r>
        <w:rPr/>
      </w:r>
    </w:p>
    <w:p>
      <w:pPr>
        <w:pStyle w:val="Heading1"/>
        <w:ind w:hanging="0" w:start="0"/>
        <w:jc w:val="both"/>
        <w:rPr/>
      </w:pPr>
      <w:r>
        <w:rPr/>
        <w:t>9</w:t>
        <w:tab/>
        <w:t>NET PAYMENTS</w:t>
      </w:r>
    </w:p>
    <w:p>
      <w:pPr>
        <w:pStyle w:val="Normal"/>
        <w:jc w:val="both"/>
        <w:rPr>
          <w:b/>
        </w:rPr>
      </w:pPr>
      <w:r>
        <w:rPr>
          <w:b/>
        </w:rPr>
      </w:r>
    </w:p>
    <w:p>
      <w:pPr>
        <w:pStyle w:val="Normal"/>
        <w:ind w:hanging="720" w:start="720" w:end="0"/>
        <w:jc w:val="both"/>
        <w:rPr/>
      </w:pPr>
      <w:r>
        <w:rPr/>
        <w:t>9.1</w:t>
        <w:tab/>
        <w:t>If on any date the same amounts are payable hereunder by each party to the other in the same currency, then, on such date, each party’s obligations to make payment of any such amount will be automatically satisfied and discharged.  Similarly, if the aggregate amount which would otherwise have been payable by one party exceeds the aggregate amount that would otherwise have been payable by the other party, there will be an obligation upon the party by whom the larger aggregate amount would have been payable to pay the other party the excess of the larger aggregate amount over the smaller aggregate amount.</w:t>
      </w:r>
    </w:p>
    <w:p>
      <w:pPr>
        <w:pStyle w:val="Normal"/>
        <w:jc w:val="both"/>
        <w:rPr/>
      </w:pPr>
      <w:r>
        <w:rPr/>
      </w:r>
    </w:p>
    <w:p>
      <w:pPr>
        <w:pStyle w:val="Normal"/>
        <w:ind w:hanging="720" w:start="720" w:end="0"/>
        <w:jc w:val="both"/>
        <w:rPr/>
      </w:pPr>
      <w:r>
        <w:rPr/>
        <w:t>9.2</w:t>
        <w:tab/>
        <w:t xml:space="preserve">If there is a conflict between the terms of this Clause and any separate netting agreement which exists between the parties then the terms of such netting agreement shall prevail. </w:t>
      </w:r>
    </w:p>
    <w:p>
      <w:pPr>
        <w:pStyle w:val="Normal"/>
        <w:ind w:hanging="720" w:start="720" w:end="0"/>
        <w:jc w:val="both"/>
        <w:rPr/>
      </w:pPr>
      <w:r>
        <w:rPr/>
      </w:r>
    </w:p>
    <w:p>
      <w:pPr>
        <w:pStyle w:val="Heading1"/>
        <w:ind w:hanging="0" w:start="0"/>
        <w:jc w:val="both"/>
        <w:rPr/>
      </w:pPr>
      <w:r>
        <w:rPr/>
        <w:t>10.</w:t>
        <w:tab/>
        <w:t>ADJUSTMENTS, TAKE-OVER OFFERS &amp; SUSPENSION</w:t>
      </w:r>
    </w:p>
    <w:p>
      <w:pPr>
        <w:pStyle w:val="Normal"/>
        <w:jc w:val="both"/>
        <w:rPr>
          <w:b/>
        </w:rPr>
      </w:pPr>
      <w:r>
        <w:rPr>
          <w:b/>
        </w:rPr>
      </w:r>
    </w:p>
    <w:p>
      <w:pPr>
        <w:pStyle w:val="Normal"/>
        <w:ind w:hanging="720" w:start="720" w:end="0"/>
        <w:jc w:val="both"/>
        <w:rPr/>
      </w:pPr>
      <w:r>
        <w:rPr/>
        <w:t>10.1</w:t>
        <w:tab/>
        <w:t>If a Contract Security becomes subject to possible adjustment as the result of any of the events set out in Clause 10.2 below, CLR shall determine the appropriate adjustment, if any, to be made to the Contract Value of that Contract Security and/or the related Contract Quantity to account for the dilutive or concentrative effect necessary to preserve the economic equivalent of the rights and obligations of the parties under the relevant Contract immediately prior to that event, to be effective as of the date determined by CLR.</w:t>
      </w:r>
    </w:p>
    <w:p>
      <w:pPr>
        <w:pStyle w:val="Normal"/>
        <w:ind w:hanging="720" w:start="720" w:end="0"/>
        <w:jc w:val="both"/>
        <w:rPr/>
      </w:pPr>
      <w:r>
        <w:rPr/>
      </w:r>
    </w:p>
    <w:p>
      <w:pPr>
        <w:pStyle w:val="Normal"/>
        <w:ind w:hanging="720" w:start="720" w:end="0"/>
        <w:jc w:val="both"/>
        <w:rPr/>
      </w:pPr>
      <w:r>
        <w:rPr/>
        <w:t>10.2</w:t>
        <w:tab/>
        <w:t>The events to which Clause 10.1 refers are the declaration by the issuer of the  Contract Security of the terms of any of the following:</w:t>
      </w:r>
    </w:p>
    <w:p>
      <w:pPr>
        <w:pStyle w:val="Normal"/>
        <w:jc w:val="both"/>
        <w:rPr/>
      </w:pPr>
      <w:r>
        <w:rPr/>
      </w:r>
    </w:p>
    <w:p>
      <w:pPr>
        <w:pStyle w:val="Normal"/>
        <w:ind w:hanging="1440" w:start="2160" w:end="0"/>
        <w:jc w:val="both"/>
        <w:rPr/>
      </w:pPr>
      <w:r>
        <w:rPr/>
        <w:t>10.2.1</w:t>
        <w:tab/>
        <w:t>a subdivision, consolidation or reclassification of the Contract Securities, or a fee distribution of shares to existing holders by way of bonus, capitalisation or similar issue;</w:t>
      </w:r>
    </w:p>
    <w:p>
      <w:pPr>
        <w:pStyle w:val="Normal"/>
        <w:ind w:start="1080" w:end="0"/>
        <w:jc w:val="both"/>
        <w:rPr/>
      </w:pPr>
      <w:r>
        <w:rPr/>
      </w:r>
    </w:p>
    <w:p>
      <w:pPr>
        <w:pStyle w:val="Normal"/>
        <w:ind w:hanging="1440" w:start="2160" w:end="0"/>
        <w:jc w:val="both"/>
        <w:rPr/>
      </w:pPr>
      <w:r>
        <w:rPr/>
        <w:t>10.2.2</w:t>
        <w:tab/>
        <w:t>a distribution to existing holders of the Contract Securities of additional shares, other share capital or securities granting the right to payment of dividends and/or proceeds of liquidation of the issuer equally proportionately with such payment to holders of the Contract Securities, or securities, rights or warrants granting the right to a distribution of shares or to purchase, subscribe or receive shares, in any case for payment (in cash or otherwise) at less than the prevailing market price per share as determined by CLR; and</w:t>
      </w:r>
    </w:p>
    <w:p>
      <w:pPr>
        <w:pStyle w:val="Normal"/>
        <w:ind w:start="1080" w:end="0"/>
        <w:jc w:val="both"/>
        <w:rPr/>
      </w:pPr>
      <w:r>
        <w:rPr/>
      </w:r>
    </w:p>
    <w:p>
      <w:pPr>
        <w:pStyle w:val="Normal"/>
        <w:ind w:hanging="1440" w:start="2160" w:end="0"/>
        <w:jc w:val="both"/>
        <w:rPr/>
      </w:pPr>
      <w:r>
        <w:rPr/>
        <w:t>10.2.3</w:t>
        <w:tab/>
        <w:t>any event in respect of the Contract Securities analogous to any of the foregoing events or otherwise having dilative or concentrate effect on their market value.</w:t>
      </w:r>
    </w:p>
    <w:p>
      <w:pPr>
        <w:pStyle w:val="Normal"/>
        <w:jc w:val="both"/>
        <w:rPr/>
      </w:pPr>
      <w:r>
        <w:rPr/>
      </w:r>
    </w:p>
    <w:p>
      <w:pPr>
        <w:pStyle w:val="BodyTextIndent2"/>
        <w:ind w:hanging="720" w:start="720" w:end="0"/>
        <w:jc w:val="both"/>
        <w:rPr/>
      </w:pPr>
      <w:r>
        <w:rPr/>
        <w:t>10.3</w:t>
        <w:tab/>
        <w:t>CLR shall determine any adjustment or amendment of the Contract Value and the Contract Quantity under this Clause 10 and its reasonable determination shall be conclusive and binding on the Customer.  Notice of any adjustment or amendment under this Clause 10 shall be given to the Customer as soon reasonably practicable after the determination thereof.</w:t>
      </w:r>
    </w:p>
    <w:p>
      <w:pPr>
        <w:pStyle w:val="Normal"/>
        <w:ind w:hanging="360" w:start="360" w:end="0"/>
        <w:jc w:val="both"/>
        <w:rPr/>
      </w:pPr>
      <w:r>
        <w:rPr/>
      </w:r>
    </w:p>
    <w:p>
      <w:pPr>
        <w:pStyle w:val="Normal"/>
        <w:ind w:hanging="720" w:start="720" w:end="0"/>
        <w:jc w:val="both"/>
        <w:rPr/>
      </w:pPr>
      <w:r>
        <w:rPr/>
        <w:t>10.4</w:t>
        <w:tab/>
        <w:t>If at any time a take-over offer is made in respect of a Contract Security, then at any time prior to the closing date of such offer.  CLR may give notice to the Customer of its intention to close the Contract.  The date of such notice will be the Closing Date and the provisions of Clause 8 shall apply and the Closing Price shall be such price as is notified by CLR to the Customer.</w:t>
      </w:r>
    </w:p>
    <w:p>
      <w:pPr>
        <w:pStyle w:val="Normal"/>
        <w:ind w:hanging="360" w:start="360" w:end="0"/>
        <w:jc w:val="both"/>
        <w:rPr/>
      </w:pPr>
      <w:r>
        <w:rPr/>
      </w:r>
    </w:p>
    <w:p>
      <w:pPr>
        <w:pStyle w:val="Normal"/>
        <w:ind w:hanging="720" w:start="720" w:end="0"/>
        <w:jc w:val="both"/>
        <w:rPr/>
      </w:pPr>
      <w:r>
        <w:rPr/>
        <w:t>10.5</w:t>
        <w:tab/>
        <w:t>Reference to “offer”, “take-over” and “closing date” in this Clause shall have the meaning given to them in the City Code on Take-overs and Mergers (as amended from time to time).</w:t>
      </w:r>
    </w:p>
    <w:p>
      <w:pPr>
        <w:pStyle w:val="Normal"/>
        <w:ind w:hanging="360" w:start="360" w:end="0"/>
        <w:jc w:val="both"/>
        <w:rPr/>
      </w:pPr>
      <w:r>
        <w:rPr/>
      </w:r>
    </w:p>
    <w:p>
      <w:pPr>
        <w:pStyle w:val="BodyTextIndent"/>
        <w:jc w:val="both"/>
        <w:rPr/>
      </w:pPr>
      <w:r>
        <w:rPr/>
        <w:t>10.6</w:t>
        <w:tab/>
        <w:t>If at any time trading on the London Stock Exchange (or such other relevant Exchange) is suspended in a Contract Security, then the Contract Value shall be the Contract Value at the time of suspension.  In the event that the aforesaid suspension continues for five Business Days, CLR and the Customer may agree a Closing Date  and a Contract Value between them, which price shall be the Closing Value of the said Contract.  In the absence of such agreement, the contract shall remain open until such time as the aforesaid suspension is terminated or until the Company in which the Contract Security is a share goes into insolvency or is otherwise dissolved.  CLR reserves the right at all times during the term of a Contract whose subject is suspended to revalue such Contract at its absolute discretion.</w:t>
      </w:r>
    </w:p>
    <w:p>
      <w:pPr>
        <w:pStyle w:val="Normal"/>
        <w:ind w:hanging="360" w:start="360" w:end="0"/>
        <w:jc w:val="both"/>
        <w:rPr/>
      </w:pPr>
      <w:r>
        <w:rPr/>
      </w:r>
    </w:p>
    <w:p>
      <w:pPr>
        <w:pStyle w:val="Normal"/>
        <w:numPr>
          <w:ilvl w:val="1"/>
          <w:numId w:val="2"/>
        </w:numPr>
        <w:jc w:val="both"/>
        <w:rPr/>
      </w:pPr>
      <w:r>
        <w:rPr/>
        <w:t>If a company, whose Security is a Contract Security, goes into insolvency or is otherwise dissolved, the day on which the said company goes into insolvency or is otherwise dissolved shall be the Closing Date.  The Closing Price shall be the value of any distribution a shareholder holding a Security of the same type as the Contract Security would receive.</w:t>
      </w:r>
    </w:p>
    <w:p>
      <w:pPr>
        <w:pStyle w:val="Normal"/>
        <w:jc w:val="both"/>
        <w:rPr/>
      </w:pPr>
      <w:r>
        <w:rPr/>
      </w:r>
    </w:p>
    <w:p>
      <w:pPr>
        <w:pStyle w:val="Normal"/>
        <w:ind w:hanging="720" w:start="720" w:end="0"/>
        <w:jc w:val="both"/>
        <w:rPr/>
      </w:pPr>
      <w:r>
        <w:rPr/>
        <w:t>10.8</w:t>
        <w:tab/>
        <w:t xml:space="preserve">For the avoidance of doubt, the Customer shall have none of the rights to which it would have been entitled if it were an owner of the Security which is a Contract Security. </w:t>
      </w:r>
    </w:p>
    <w:p>
      <w:pPr>
        <w:pStyle w:val="Normal"/>
        <w:jc w:val="both"/>
        <w:rPr/>
      </w:pPr>
      <w:r>
        <w:rPr/>
      </w:r>
    </w:p>
    <w:p>
      <w:pPr>
        <w:pStyle w:val="Normal"/>
        <w:jc w:val="both"/>
        <w:rPr>
          <w:b/>
        </w:rPr>
      </w:pPr>
      <w:r>
        <w:rPr>
          <w:b/>
        </w:rPr>
        <w:t>11.</w:t>
        <w:tab/>
        <w:t>GENERAL</w:t>
      </w:r>
    </w:p>
    <w:p>
      <w:pPr>
        <w:pStyle w:val="Normal"/>
        <w:ind w:hanging="360" w:start="360" w:end="0"/>
        <w:jc w:val="both"/>
        <w:rPr>
          <w:b/>
        </w:rPr>
      </w:pPr>
      <w:r>
        <w:rPr>
          <w:b/>
        </w:rPr>
      </w:r>
    </w:p>
    <w:p>
      <w:pPr>
        <w:pStyle w:val="Normal"/>
        <w:ind w:hanging="720" w:start="720" w:end="0"/>
        <w:jc w:val="both"/>
        <w:rPr/>
      </w:pPr>
      <w:r>
        <w:rPr/>
        <w:t>11.1</w:t>
        <w:tab/>
        <w:t>This Appendix is supplemental to the Terms of Business and all rights and obligations contained therein will apply to this Appendix including, inter alia, Events of Default.</w:t>
      </w:r>
    </w:p>
    <w:p>
      <w:pPr>
        <w:pStyle w:val="Normal"/>
        <w:jc w:val="both"/>
        <w:rPr/>
      </w:pPr>
      <w:r>
        <w:rPr/>
      </w:r>
    </w:p>
    <w:p>
      <w:pPr>
        <w:pStyle w:val="Normal"/>
        <w:ind w:hanging="720" w:start="720" w:end="0"/>
        <w:jc w:val="both"/>
        <w:rPr/>
      </w:pPr>
      <w:r>
        <w:rPr/>
        <w:t>11.2</w:t>
        <w:tab/>
        <w:t>In the event of any conflict between the terms of this Appendix and those contained in the Terms of Business, the terms of this Appendix shall prevail.</w:t>
      </w:r>
    </w:p>
    <w:sectPr>
      <w:footerReference w:type="default" r:id="rId2"/>
      <w:type w:val="nextPage"/>
      <w:pgSz w:w="11906" w:h="16838"/>
      <w:pgMar w:left="1800" w:right="1800" w:gutter="0" w:header="0" w:top="1728" w:footer="28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The Group Legal Department/Amos/Docs/CFD3</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720"/>
        </w:tabs>
        <w:ind w:start="720" w:hanging="720"/>
      </w:pPr>
      <w:rPr/>
    </w:lvl>
    <w:lvl w:ilvl="1">
      <w:start w:val="7"/>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7"/>
      <w:numFmt w:val="decimal"/>
      <w:lvlText w:val="%1"/>
      <w:lvlJc w:val="start"/>
      <w:pPr>
        <w:tabs>
          <w:tab w:val="num" w:pos="480"/>
        </w:tabs>
        <w:ind w:start="480" w:hanging="480"/>
      </w:pPr>
      <w:rPr/>
    </w:lvl>
    <w:lvl w:ilvl="1">
      <w:start w:val="1"/>
      <w:numFmt w:val="decimal"/>
      <w:lvlText w:val="%1.%2"/>
      <w:lvlJc w:val="start"/>
      <w:pPr>
        <w:tabs>
          <w:tab w:val="num" w:pos="840"/>
        </w:tabs>
        <w:ind w:start="840" w:hanging="48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paragraph" w:styleId="BodyTextIndent2">
    <w:name w:val="Body Text Indent 2"/>
    <w:basedOn w:val="Normal"/>
    <w:qFormat/>
    <w:pPr>
      <w:ind w:hanging="360" w:start="360" w:end="0"/>
    </w:pPr>
    <w:rPr/>
  </w:style>
  <w:style w:type="paragraph" w:styleId="BodyTextIndent3">
    <w:name w:val="Body Text Indent 3"/>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2001-09-17T13:06:00Z</dcterms:created>
  <dc:creator>Ashty Maharaj</dc:creator>
  <dc:description/>
  <dc:language>en-CA</dc:language>
  <cp:lastModifiedBy>jtokley</cp:lastModifiedBy>
  <cp:lastPrinted>2000-02-25T16:30:00Z</cp:lastPrinted>
  <dcterms:modified xsi:type="dcterms:W3CDTF">2001-09-17T13:06:00Z</dcterms:modified>
  <cp:revision>2</cp:revision>
  <dc:subject/>
  <dc:title>APPENDIX TO THE STANDARD </dc:title>
</cp:coreProperties>
</file>