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u w:val="single"/>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b w:val="false"/>
          <w:bCs/>
          <w:u w:val="single"/>
        </w:rPr>
      </w:pPr>
      <w:r>
        <w:rPr>
          <w:b w:val="false"/>
          <w:bCs/>
          <w:u w:val="single"/>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cs="Arial"/>
                <w:sz w:val="16"/>
              </w:rPr>
            </w:pPr>
            <w:r>
              <w:rPr>
                <w:rFonts w:cs="Arial"/>
                <w:sz w:val="16"/>
              </w:rPr>
              <w:t>To:</w:t>
            </w:r>
          </w:p>
        </w:tc>
        <w:tc>
          <w:tcPr>
            <w:tcW w:w="6045" w:type="dxa"/>
            <w:tcBorders/>
          </w:tcPr>
          <w:p>
            <w:pPr>
              <w:pStyle w:val="To"/>
              <w:rPr>
                <w:rFonts w:cs="Arial"/>
              </w:rPr>
            </w:pPr>
            <w:r>
              <w:rPr>
                <w:rFonts w:cs="Arial"/>
              </w:rPr>
              <w:t>Distribution</w:t>
            </w:r>
          </w:p>
        </w:tc>
        <w:tc>
          <w:tcPr>
            <w:tcW w:w="990" w:type="dxa"/>
            <w:tcBorders/>
          </w:tcPr>
          <w:p>
            <w:pPr>
              <w:pStyle w:val="Normal"/>
              <w:snapToGrid w:val="false"/>
              <w:ind w:start="-180" w:end="0"/>
              <w:rPr>
                <w:rFonts w:cs="Arial"/>
              </w:rPr>
            </w:pPr>
            <w:r>
              <w:rPr>
                <w:rFonts w:cs="Arial"/>
              </w:rPr>
            </w:r>
          </w:p>
        </w:tc>
        <w:tc>
          <w:tcPr>
            <w:tcW w:w="2965" w:type="dxa"/>
            <w:tcBorders/>
          </w:tcPr>
          <w:p>
            <w:pPr>
              <w:pStyle w:val="Normal"/>
              <w:snapToGrid w:val="false"/>
              <w:rPr>
                <w:rFonts w:cs="Arial"/>
              </w:rPr>
            </w:pPr>
            <w:r>
              <w:rPr>
                <w:rFonts w:cs="Arial"/>
              </w:rPr>
            </w:r>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5" w:type="dxa"/>
            <w:tcBorders/>
          </w:tcPr>
          <w:p>
            <w:pPr>
              <w:pStyle w:val="Normal"/>
              <w:snapToGrid w:val="false"/>
              <w:rPr>
                <w:rFonts w:cs="Arial"/>
                <w:sz w:val="18"/>
              </w:rPr>
            </w:pPr>
            <w:r>
              <w:rPr>
                <w:rFonts w:cs="Arial"/>
                <w:sz w:val="18"/>
              </w:rPr>
            </w:r>
          </w:p>
        </w:tc>
        <w:tc>
          <w:tcPr>
            <w:tcW w:w="990"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300" w:hRule="exact"/>
        </w:trPr>
        <w:tc>
          <w:tcPr>
            <w:tcW w:w="708" w:type="dxa"/>
            <w:tcBorders/>
          </w:tcPr>
          <w:p>
            <w:pPr>
              <w:pStyle w:val="Normal"/>
              <w:ind w:start="-180" w:end="0"/>
              <w:jc w:val="end"/>
              <w:rPr>
                <w:rFonts w:cs="Arial"/>
                <w:sz w:val="16"/>
              </w:rPr>
            </w:pPr>
            <w:r>
              <w:rPr>
                <w:rFonts w:cs="Arial"/>
                <w:sz w:val="16"/>
              </w:rPr>
              <w:t>From:</w:t>
            </w:r>
          </w:p>
        </w:tc>
        <w:tc>
          <w:tcPr>
            <w:tcW w:w="6045" w:type="dxa"/>
            <w:tcBorders/>
          </w:tcPr>
          <w:p>
            <w:pPr>
              <w:pStyle w:val="From"/>
              <w:rPr>
                <w:rFonts w:cs="Arial"/>
              </w:rPr>
            </w:pPr>
            <w:r>
              <w:rPr>
                <w:rFonts w:cs="Arial"/>
              </w:rPr>
              <w:t>Danny McCarty</w:t>
            </w:r>
          </w:p>
        </w:tc>
        <w:tc>
          <w:tcPr>
            <w:tcW w:w="990" w:type="dxa"/>
            <w:tcBorders/>
          </w:tcPr>
          <w:p>
            <w:pPr>
              <w:pStyle w:val="Normal"/>
              <w:snapToGrid w:val="false"/>
              <w:ind w:start="-180" w:end="0"/>
              <w:jc w:val="end"/>
              <w:rPr>
                <w:rFonts w:cs="Arial"/>
                <w:sz w:val="16"/>
              </w:rPr>
            </w:pPr>
            <w:r>
              <w:rPr>
                <w:rFonts w:cs="Arial"/>
                <w:sz w:val="16"/>
              </w:rPr>
            </w:r>
          </w:p>
        </w:tc>
        <w:tc>
          <w:tcPr>
            <w:tcW w:w="2965" w:type="dxa"/>
            <w:tcBorders/>
          </w:tcPr>
          <w:p>
            <w:pPr>
              <w:pStyle w:val="Department"/>
              <w:snapToGrid w:val="false"/>
              <w:rPr>
                <w:rFonts w:cs="Arial"/>
                <w:sz w:val="16"/>
              </w:rPr>
            </w:pPr>
            <w:r>
              <w:rPr>
                <w:rFonts w:cs="Arial"/>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5" w:type="dxa"/>
            <w:tcBorders/>
          </w:tcPr>
          <w:p>
            <w:pPr>
              <w:pStyle w:val="Normal"/>
              <w:snapToGrid w:val="false"/>
              <w:rPr>
                <w:rFonts w:cs="Arial"/>
                <w:sz w:val="18"/>
              </w:rPr>
            </w:pPr>
            <w:r>
              <w:rPr>
                <w:rFonts w:cs="Arial"/>
                <w:sz w:val="18"/>
              </w:rPr>
            </w:r>
          </w:p>
        </w:tc>
        <w:tc>
          <w:tcPr>
            <w:tcW w:w="990"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600" w:hRule="exact"/>
        </w:trPr>
        <w:tc>
          <w:tcPr>
            <w:tcW w:w="708" w:type="dxa"/>
            <w:tcBorders>
              <w:bottom w:val="single" w:sz="12" w:space="0" w:color="000000"/>
            </w:tcBorders>
          </w:tcPr>
          <w:p>
            <w:pPr>
              <w:pStyle w:val="Normal"/>
              <w:ind w:start="-180" w:end="0"/>
              <w:jc w:val="end"/>
              <w:rPr>
                <w:rFonts w:cs="Arial"/>
                <w:sz w:val="16"/>
              </w:rPr>
            </w:pPr>
            <w:r>
              <w:rPr>
                <w:rFonts w:cs="Arial"/>
                <w:sz w:val="16"/>
              </w:rPr>
              <w:t>Subject:</w:t>
            </w:r>
          </w:p>
        </w:tc>
        <w:tc>
          <w:tcPr>
            <w:tcW w:w="6045" w:type="dxa"/>
            <w:tcBorders>
              <w:bottom w:val="single" w:sz="12" w:space="0" w:color="000000"/>
            </w:tcBorders>
          </w:tcPr>
          <w:p>
            <w:pPr>
              <w:pStyle w:val="Subject"/>
              <w:rPr>
                <w:rFonts w:cs="Arial"/>
              </w:rPr>
            </w:pPr>
            <w:r>
              <w:rPr>
                <w:rFonts w:cs="Arial"/>
              </w:rPr>
              <w:t>2002 HLS&amp;R</w:t>
            </w:r>
          </w:p>
        </w:tc>
        <w:tc>
          <w:tcPr>
            <w:tcW w:w="990" w:type="dxa"/>
            <w:tcBorders>
              <w:bottom w:val="single" w:sz="12" w:space="0" w:color="000000"/>
            </w:tcBorders>
          </w:tcPr>
          <w:p>
            <w:pPr>
              <w:pStyle w:val="Normal"/>
              <w:ind w:start="-180" w:end="0"/>
              <w:jc w:val="end"/>
              <w:rPr>
                <w:rFonts w:cs="Arial"/>
                <w:sz w:val="16"/>
              </w:rPr>
            </w:pPr>
            <w:r>
              <w:rPr>
                <w:rFonts w:cs="Arial"/>
                <w:sz w:val="16"/>
              </w:rPr>
              <w:t>Date:</w:t>
            </w:r>
          </w:p>
        </w:tc>
        <w:tc>
          <w:tcPr>
            <w:tcW w:w="2965" w:type="dxa"/>
            <w:tcBorders>
              <w:bottom w:val="single" w:sz="12" w:space="0" w:color="000000"/>
            </w:tcBorders>
          </w:tcPr>
          <w:p>
            <w:pPr>
              <w:pStyle w:val="Date"/>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rPr>
          <w:rFonts w:cs="Arial"/>
        </w:rPr>
      </w:pPr>
      <w:r>
        <w:rPr>
          <w:rFonts w:cs="Arial"/>
        </w:rPr>
      </w:r>
      <w:bookmarkStart w:id="2" w:name="StartOfMemo"/>
      <w:bookmarkStart w:id="3" w:name="StartOfMemo"/>
      <w:bookmarkEnd w:id="3"/>
    </w:p>
    <w:p>
      <w:pPr>
        <w:pStyle w:val="Body"/>
        <w:jc w:val="both"/>
        <w:rPr/>
      </w:pPr>
      <w:r>
        <w:rPr>
          <w:rFonts w:cs="Arial"/>
        </w:rPr>
        <w:t>The 2002 Houston Livestock Show and Rodeo is coming town on February 12</w:t>
      </w:r>
      <w:r>
        <w:rPr>
          <w:rFonts w:cs="Arial"/>
          <w:vertAlign w:val="superscript"/>
        </w:rPr>
        <w:t>th</w:t>
      </w:r>
      <w:r>
        <w:rPr>
          <w:rFonts w:cs="Arial"/>
        </w:rPr>
        <w:t xml:space="preserve"> – March 3</w:t>
      </w:r>
      <w:r>
        <w:rPr>
          <w:rFonts w:cs="Arial"/>
          <w:vertAlign w:val="superscript"/>
        </w:rPr>
        <w:t>rd</w:t>
      </w:r>
      <w:r>
        <w:rPr>
          <w:rFonts w:cs="Arial"/>
        </w:rPr>
        <w:t xml:space="preserve">.  An exciting concert star lineup is scheduled and promises to offer entertainment for everyone.   This will also be the last year in the Astrodome and ETS will have a chance to relocate the season tickets next year in the new Texan stadium.  </w:t>
      </w:r>
    </w:p>
    <w:p>
      <w:pPr>
        <w:pStyle w:val="Body"/>
        <w:jc w:val="both"/>
        <w:rPr>
          <w:rFonts w:cs="Arial"/>
        </w:rPr>
      </w:pPr>
      <w:r>
        <w:rPr>
          <w:rFonts w:cs="Arial"/>
        </w:rPr>
      </w:r>
    </w:p>
    <w:p>
      <w:pPr>
        <w:pStyle w:val="Body"/>
        <w:ind w:start="0" w:end="0"/>
        <w:jc w:val="both"/>
        <w:rPr>
          <w:rFonts w:cs="Arial"/>
        </w:rPr>
      </w:pPr>
      <w:r>
        <w:rPr>
          <w:rFonts w:cs="Arial"/>
        </w:rPr>
        <w:t xml:space="preserve">There are (4) four tickets to each performance.  This is a great way to entertain your customers and enjoy some quality entertainment.  Attached please find the schedule.  Please call Julie Armstrong at x33597 or email Julie with your preference and the customer name.  </w:t>
      </w:r>
    </w:p>
    <w:p>
      <w:pPr>
        <w:pStyle w:val="Body"/>
        <w:ind w:start="0" w:end="0"/>
        <w:jc w:val="both"/>
        <w:rPr>
          <w:rFonts w:cs="Arial"/>
        </w:rPr>
      </w:pPr>
      <w:r>
        <w:rPr>
          <w:rFonts w:cs="Arial"/>
        </w:rPr>
      </w:r>
    </w:p>
    <w:p>
      <w:pPr>
        <w:pStyle w:val="Body"/>
        <w:ind w:start="0" w:end="0"/>
        <w:jc w:val="both"/>
        <w:rPr>
          <w:rFonts w:cs="Arial"/>
        </w:rPr>
      </w:pPr>
      <w:r>
        <w:rPr>
          <w:rFonts w:cs="Arial"/>
        </w:rPr>
      </w:r>
    </w:p>
    <w:p>
      <w:pPr>
        <w:pStyle w:val="Body"/>
        <w:ind w:start="0" w:end="0"/>
        <w:jc w:val="both"/>
        <w:rPr>
          <w:rFonts w:cs="Arial"/>
          <w:b/>
          <w:bCs/>
          <w:u w:val="single"/>
        </w:rPr>
      </w:pPr>
      <w:r>
        <w:rPr>
          <w:rFonts w:cs="Arial"/>
          <w:b/>
          <w:bCs/>
          <w:u w:val="single"/>
        </w:rPr>
        <w:t>Distribution</w:t>
      </w:r>
    </w:p>
    <w:p>
      <w:pPr>
        <w:pStyle w:val="Body"/>
        <w:ind w:start="0" w:end="0"/>
        <w:jc w:val="both"/>
        <w:rPr>
          <w:rFonts w:cs="Arial"/>
          <w:b/>
          <w:bCs/>
          <w:u w:val="single"/>
        </w:rPr>
      </w:pPr>
      <w:r>
        <w:rPr>
          <w:rFonts w:cs="Arial"/>
          <w:b/>
          <w:bCs/>
          <w:u w:val="single"/>
        </w:rPr>
      </w:r>
    </w:p>
    <w:p>
      <w:pPr>
        <w:pStyle w:val="Body"/>
        <w:ind w:start="0" w:end="0"/>
        <w:jc w:val="both"/>
        <w:rPr>
          <w:rFonts w:cs="Arial"/>
        </w:rPr>
      </w:pPr>
      <w:r>
        <w:rPr>
          <w:rFonts w:cs="Arial"/>
        </w:rPr>
        <w:t>Shelley Corman</w:t>
      </w:r>
    </w:p>
    <w:p>
      <w:pPr>
        <w:pStyle w:val="Body"/>
        <w:ind w:start="0" w:end="0"/>
        <w:jc w:val="both"/>
        <w:rPr>
          <w:rFonts w:cs="Arial"/>
        </w:rPr>
      </w:pPr>
      <w:r>
        <w:rPr>
          <w:rFonts w:cs="Arial"/>
        </w:rPr>
        <w:t>Steve Dowd</w:t>
      </w:r>
    </w:p>
    <w:p>
      <w:pPr>
        <w:pStyle w:val="Body"/>
        <w:ind w:start="0" w:end="0"/>
        <w:jc w:val="both"/>
        <w:rPr>
          <w:rFonts w:cs="Arial"/>
        </w:rPr>
      </w:pPr>
      <w:r>
        <w:rPr>
          <w:rFonts w:cs="Arial"/>
        </w:rPr>
        <w:t>Eric Gadd</w:t>
      </w:r>
    </w:p>
    <w:p>
      <w:pPr>
        <w:pStyle w:val="Body"/>
        <w:ind w:start="0" w:end="0"/>
        <w:jc w:val="both"/>
        <w:rPr>
          <w:rFonts w:cs="Arial"/>
        </w:rPr>
      </w:pPr>
      <w:r>
        <w:rPr>
          <w:rFonts w:cs="Arial"/>
        </w:rPr>
        <w:t>Steve Harris</w:t>
      </w:r>
    </w:p>
    <w:p>
      <w:pPr>
        <w:pStyle w:val="Body"/>
        <w:ind w:start="0" w:end="0"/>
        <w:jc w:val="both"/>
        <w:rPr>
          <w:rFonts w:cs="Arial"/>
        </w:rPr>
      </w:pPr>
      <w:r>
        <w:rPr>
          <w:rFonts w:cs="Arial"/>
        </w:rPr>
        <w:t>Joe Hartsoe</w:t>
      </w:r>
    </w:p>
    <w:p>
      <w:pPr>
        <w:pStyle w:val="Body"/>
        <w:ind w:start="0" w:end="0"/>
        <w:jc w:val="both"/>
        <w:rPr>
          <w:rFonts w:cs="Arial"/>
        </w:rPr>
      </w:pPr>
      <w:r>
        <w:rPr>
          <w:rFonts w:cs="Arial"/>
        </w:rPr>
        <w:t>Bob Hayes</w:t>
      </w:r>
    </w:p>
    <w:p>
      <w:pPr>
        <w:pStyle w:val="Body"/>
        <w:ind w:start="0" w:end="0"/>
        <w:jc w:val="both"/>
        <w:rPr>
          <w:rFonts w:cs="Arial"/>
        </w:rPr>
      </w:pPr>
      <w:r>
        <w:rPr>
          <w:rFonts w:cs="Arial"/>
        </w:rPr>
        <w:t>Rob Kilmer</w:t>
      </w:r>
    </w:p>
    <w:p>
      <w:pPr>
        <w:pStyle w:val="Body"/>
        <w:ind w:start="0" w:end="0"/>
        <w:jc w:val="both"/>
        <w:rPr>
          <w:rFonts w:cs="Arial"/>
        </w:rPr>
      </w:pPr>
      <w:r>
        <w:rPr>
          <w:rFonts w:cs="Arial"/>
        </w:rPr>
        <w:t>Mary Kay Miller</w:t>
      </w:r>
    </w:p>
    <w:p>
      <w:pPr>
        <w:pStyle w:val="Body"/>
        <w:ind w:start="0" w:end="0"/>
        <w:jc w:val="both"/>
        <w:rPr>
          <w:rFonts w:cs="Arial"/>
        </w:rPr>
      </w:pPr>
      <w:r>
        <w:rPr>
          <w:rFonts w:cs="Arial"/>
        </w:rPr>
        <w:t>Dave Neubauer</w:t>
      </w:r>
    </w:p>
    <w:p>
      <w:pPr>
        <w:pStyle w:val="Body"/>
        <w:ind w:start="0" w:end="0"/>
        <w:jc w:val="both"/>
        <w:rPr>
          <w:rFonts w:cs="Arial"/>
        </w:rPr>
      </w:pPr>
      <w:r>
        <w:rPr>
          <w:rFonts w:cs="Arial"/>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2002-01-17T17:48:00Z</dcterms:created>
  <dc:creator>Jeff Ford</dc:creator>
  <dc:description/>
  <dc:language>en-CA</dc:language>
  <cp:lastModifiedBy>jarmstr</cp:lastModifiedBy>
  <cp:lastPrinted>2002-01-17T15:04:00Z</cp:lastPrinted>
  <dcterms:modified xsi:type="dcterms:W3CDTF">2002-01-17T18:35:00Z</dcterms:modified>
  <cp:revision>2</cp:revision>
  <dc:subject/>
  <dc:title>Eron Capital &amp; Trade Resources Memo</dc:title>
</cp:coreProperties>
</file>