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2"/>
        </w:rPr>
      </w:pPr>
      <w:r>
        <w:rPr>
          <w:rFonts w:cs="Arial" w:ascii="Arial" w:hAnsi="Arial"/>
          <w:sz w:val="22"/>
        </w:rPr>
        <w:t>NETCO - 2002 South East &amp; Midwest Business Plan</w:t>
      </w:r>
    </w:p>
    <w:p>
      <w:pPr>
        <w:pStyle w:val="Normal"/>
        <w:rPr>
          <w:rFonts w:ascii="Arial" w:hAnsi="Arial" w:cs="Arial"/>
          <w:sz w:val="22"/>
        </w:rPr>
      </w:pPr>
      <w:r>
        <w:rPr>
          <w:rFonts w:cs="Arial" w:ascii="Arial" w:hAnsi="Arial"/>
          <w:sz w:val="22"/>
        </w:rPr>
      </w:r>
    </w:p>
    <w:p>
      <w:pPr>
        <w:pStyle w:val="Subtitle"/>
        <w:rPr>
          <w:rFonts w:ascii="Arial" w:hAnsi="Arial" w:cs="Arial"/>
          <w:sz w:val="22"/>
        </w:rPr>
      </w:pPr>
      <w:r>
        <w:rPr>
          <w:rFonts w:cs="Arial" w:ascii="Arial" w:hAnsi="Arial"/>
          <w:sz w:val="22"/>
        </w:rPr>
      </w:r>
    </w:p>
    <w:p>
      <w:pPr>
        <w:pStyle w:val="Subtitle"/>
        <w:rPr>
          <w:rFonts w:ascii="Arial" w:hAnsi="Arial" w:cs="Arial"/>
          <w:sz w:val="22"/>
        </w:rPr>
      </w:pPr>
      <w:r>
        <w:rPr>
          <w:rFonts w:cs="Arial" w:ascii="Arial" w:hAnsi="Arial"/>
          <w:sz w:val="22"/>
        </w:rPr>
        <w:t>Executive Summary</w:t>
      </w:r>
    </w:p>
    <w:p>
      <w:pPr>
        <w:pStyle w:val="BodyText"/>
        <w:rPr>
          <w:rFonts w:ascii="Arial" w:hAnsi="Arial" w:cs="Arial"/>
          <w:sz w:val="22"/>
        </w:rPr>
      </w:pPr>
      <w:r>
        <w:rPr>
          <w:rFonts w:cs="Arial" w:ascii="Arial" w:hAnsi="Arial"/>
          <w:sz w:val="22"/>
        </w:rPr>
      </w:r>
    </w:p>
    <w:p>
      <w:pPr>
        <w:pStyle w:val="BodyText"/>
        <w:rPr/>
      </w:pPr>
      <w:r>
        <w:rPr>
          <w:rFonts w:cs="Arial" w:ascii="Arial" w:hAnsi="Arial"/>
          <w:b/>
          <w:bCs/>
        </w:rPr>
        <w:t>South East.</w:t>
      </w:r>
      <w:r>
        <w:rPr>
          <w:rFonts w:cs="Arial" w:ascii="Arial" w:hAnsi="Arial"/>
        </w:rPr>
        <w:t xml:space="preserve">  The Southeast (SE) market, which includes TVA, SERC, FRCC, and SPP, is largely an illiquid market centered around two liquid hubs: TVA and Entergy.  Initial efforts will be focused on implementing trading with key counterparties at these hubs.  Secondary efforts will focus on achieving originated positions at or near these hubs.</w:t>
      </w:r>
    </w:p>
    <w:p>
      <w:pPr>
        <w:pStyle w:val="BodyText"/>
        <w:rPr>
          <w:rFonts w:ascii="Arial" w:hAnsi="Arial" w:cs="Arial"/>
        </w:rPr>
      </w:pPr>
      <w:r>
        <w:rPr>
          <w:rFonts w:cs="Arial" w:ascii="Arial" w:hAnsi="Arial"/>
        </w:rPr>
      </w:r>
    </w:p>
    <w:p>
      <w:pPr>
        <w:pStyle w:val="BodyText"/>
        <w:rPr/>
      </w:pPr>
      <w:r>
        <w:rPr>
          <w:rFonts w:cs="Arial" w:ascii="Arial" w:hAnsi="Arial"/>
          <w:b/>
          <w:bCs/>
        </w:rPr>
        <w:t>Midwest.</w:t>
      </w:r>
      <w:r>
        <w:rPr>
          <w:rFonts w:cs="Arial" w:ascii="Arial" w:hAnsi="Arial"/>
        </w:rPr>
        <w:t xml:space="preserve">  The Midwest (MW) market, which includes ECAR, MAIN, and MAPP, includes the Cinergy hub, the most liquid hub in the eastern interconnect, and COMED, a reasonably liquid hub in MAIN.  Initial efforts will be focused on implementing trading with key counterparties that trade at the Cinergy and COMED hubs.  Secondary efforts will focus on achieving originated positions at or near the Cinergy hub.</w:t>
      </w:r>
    </w:p>
    <w:p>
      <w:pPr>
        <w:pStyle w:val="BodyText"/>
        <w:rPr>
          <w:rFonts w:ascii="Arial" w:hAnsi="Arial" w:cs="Arial"/>
        </w:rPr>
      </w:pPr>
      <w:r>
        <w:rPr>
          <w:rFonts w:cs="Arial" w:ascii="Arial" w:hAnsi="Arial"/>
        </w:rPr>
      </w:r>
    </w:p>
    <w:p>
      <w:pPr>
        <w:pStyle w:val="Normal"/>
        <w:rPr>
          <w:rFonts w:ascii="Arial" w:hAnsi="Arial" w:cs="Arial"/>
          <w:sz w:val="22"/>
        </w:rPr>
      </w:pPr>
      <w:r>
        <w:rPr>
          <w:rFonts w:cs="Arial" w:ascii="Arial" w:hAnsi="Arial"/>
          <w:sz w:val="22"/>
        </w:rPr>
        <w:t>For both regions, a power-marketing license is required in order to trade physical power or financial products (such as options) that have the opportunity to become physical.  Additionally, transmission agreements with key providers are also required.</w:t>
      </w:r>
    </w:p>
    <w:p>
      <w:pPr>
        <w:pStyle w:val="Normal"/>
        <w:rPr>
          <w:rFonts w:ascii="Arial" w:hAnsi="Arial" w:cs="Arial"/>
          <w:sz w:val="22"/>
        </w:rPr>
      </w:pPr>
      <w:r>
        <w:rPr>
          <w:rFonts w:cs="Arial" w:ascii="Arial" w:hAnsi="Arial"/>
          <w:sz w:val="22"/>
        </w:rPr>
      </w:r>
    </w:p>
    <w:p>
      <w:pPr>
        <w:pStyle w:val="Normal"/>
        <w:rPr/>
      </w:pPr>
      <w:r>
        <w:rPr>
          <w:rFonts w:cs="Arial" w:ascii="Arial" w:hAnsi="Arial"/>
          <w:sz w:val="22"/>
          <w:u w:val="single"/>
        </w:rPr>
        <w:t>Overall Strategy</w:t>
      </w:r>
      <w:r>
        <w:rPr>
          <w:rFonts w:cs="Arial" w:ascii="Arial" w:hAnsi="Arial"/>
          <w:sz w:val="22"/>
        </w:rPr>
        <w:t xml:space="preserve"> – The initial focus will be on taking steps to start trading with Tier 1 customers; that is, those customers that are expected to begin trading with Netco almost immediately.  Many of the Tier 1 customers are national in nature and will be approached as such.  Other Tier 1 customers are strictly regional, and will be approached by the regional team.  Tier 2 customers are those customers that have historically not traded at one of the major hubs, but have entered into more structured commodity transactions (examples include many co-ops and muni’s).  Tier 3 customers are those customers that are expected to or have historically entered into highly structured financial, asset, or commodity-based transactions.</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Restart/Integration Plan</w:t>
      </w:r>
    </w:p>
    <w:p>
      <w:pPr>
        <w:pStyle w:val="Heading1"/>
        <w:ind w:hanging="0" w:start="0"/>
        <w:rPr>
          <w:rFonts w:ascii="Arial" w:hAnsi="Arial" w:cs="Arial"/>
          <w:b w:val="false"/>
          <w:bCs w:val="false"/>
        </w:rPr>
      </w:pPr>
      <w:r>
        <w:rPr>
          <w:rFonts w:cs="Arial" w:ascii="Arial" w:hAnsi="Arial"/>
          <w:b w:val="false"/>
          <w:bCs w:val="false"/>
        </w:rPr>
        <w:t>The following action items need to be completed to facilitate NETCO’s power trading and marketing business in the SE and MW.</w:t>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i/>
          <w:i/>
          <w:iCs/>
        </w:rPr>
      </w:pPr>
      <w:r>
        <w:rPr>
          <w:rFonts w:cs="Arial" w:ascii="Arial" w:hAnsi="Arial"/>
          <w:b w:val="false"/>
          <w:bCs w:val="false"/>
          <w:i/>
          <w:iCs/>
        </w:rPr>
        <w:t>High Priority – Necessary to Start Physical Trading (Jan – Feb02)</w:t>
      </w:r>
    </w:p>
    <w:p>
      <w:pPr>
        <w:pStyle w:val="Normal"/>
        <w:rPr>
          <w:rFonts w:ascii="Arial" w:hAnsi="Arial" w:cs="Arial"/>
          <w:b/>
          <w:bCs/>
          <w:i/>
          <w:i/>
          <w:iCs/>
          <w:sz w:val="22"/>
        </w:rPr>
      </w:pPr>
      <w:r>
        <w:rPr>
          <w:rFonts w:cs="Arial" w:ascii="Arial" w:hAnsi="Arial"/>
          <w:b/>
          <w:bCs/>
          <w:i/>
          <w:iCs/>
          <w:sz w:val="22"/>
        </w:rPr>
      </w:r>
    </w:p>
    <w:tbl>
      <w:tblPr>
        <w:tblW w:w="9540" w:type="dxa"/>
        <w:jc w:val="start"/>
        <w:tblInd w:w="108" w:type="dxa"/>
        <w:tblLayout w:type="fixed"/>
        <w:tblCellMar>
          <w:top w:w="0" w:type="dxa"/>
          <w:start w:w="108" w:type="dxa"/>
          <w:bottom w:w="0" w:type="dxa"/>
          <w:end w:w="108" w:type="dxa"/>
        </w:tblCellMar>
      </w:tblPr>
      <w:tblGrid>
        <w:gridCol w:w="2160"/>
        <w:gridCol w:w="2880"/>
        <w:gridCol w:w="1980"/>
        <w:gridCol w:w="252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Action Item</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Description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Timeline</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Responsibility</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Power Marketing License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Enables trading and marketing efforts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15-60 days</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NetCo legal/regulatory</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Tier 1 EEI/ISDA/Netting Agreements</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Allows the start of trading</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Robinson/Abler</w:t>
            </w:r>
          </w:p>
          <w:p>
            <w:pPr>
              <w:pStyle w:val="Normal"/>
              <w:jc w:val="center"/>
              <w:rPr>
                <w:rFonts w:ascii="Arial" w:hAnsi="Arial" w:cs="Arial"/>
                <w:sz w:val="22"/>
              </w:rPr>
            </w:pPr>
            <w:r>
              <w:rPr>
                <w:rFonts w:cs="Arial" w:ascii="Arial" w:hAnsi="Arial"/>
                <w:sz w:val="22"/>
              </w:rPr>
              <w:t>Rorschach/Valderrama</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Tier 1 Marketing Contact</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The first marketing approach to the Tier 1 customers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 60 days</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Robinson/Abler</w:t>
            </w:r>
          </w:p>
          <w:p>
            <w:pPr>
              <w:pStyle w:val="Normal"/>
              <w:jc w:val="center"/>
              <w:rPr>
                <w:rFonts w:ascii="Arial" w:hAnsi="Arial" w:cs="Arial"/>
                <w:sz w:val="22"/>
              </w:rPr>
            </w:pPr>
            <w:r>
              <w:rPr>
                <w:rFonts w:cs="Arial" w:ascii="Arial" w:hAnsi="Arial"/>
                <w:sz w:val="22"/>
              </w:rPr>
              <w:t>Rorschach/Valderrama</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Tier 1 Transmission Agreements</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Allows the physical movement of power over major transmission paths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30-60 days</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Robinson/Abler</w:t>
            </w:r>
          </w:p>
          <w:p>
            <w:pPr>
              <w:pStyle w:val="Normal"/>
              <w:jc w:val="center"/>
              <w:rPr>
                <w:rFonts w:ascii="Arial" w:hAnsi="Arial" w:cs="Arial"/>
                <w:sz w:val="22"/>
              </w:rPr>
            </w:pPr>
            <w:r>
              <w:rPr>
                <w:rFonts w:cs="Arial" w:ascii="Arial" w:hAnsi="Arial"/>
                <w:sz w:val="22"/>
              </w:rPr>
              <w:t>Rorschach/Valderrama</w:t>
            </w:r>
          </w:p>
        </w:tc>
      </w:tr>
    </w:tbl>
    <w:p>
      <w:pPr>
        <w:pStyle w:val="Caption"/>
        <w:rPr>
          <w:i w:val="false"/>
          <w:i w:val="false"/>
          <w:iCs w:val="false"/>
          <w:sz w:val="22"/>
          <w:u w:val="single"/>
        </w:rPr>
      </w:pPr>
      <w:r>
        <w:rPr>
          <w:i w:val="false"/>
          <w:iCs w:val="false"/>
          <w:sz w:val="22"/>
          <w:u w:val="single"/>
        </w:rPr>
      </w:r>
    </w:p>
    <w:p>
      <w:pPr>
        <w:pStyle w:val="Caption"/>
        <w:rPr>
          <w:i w:val="false"/>
          <w:i w:val="false"/>
          <w:iCs w:val="false"/>
          <w:sz w:val="22"/>
        </w:rPr>
      </w:pPr>
      <w:r>
        <w:rPr>
          <w:i w:val="false"/>
          <w:iCs w:val="false"/>
          <w:sz w:val="22"/>
        </w:rPr>
        <w:tab/>
        <w:tab/>
      </w:r>
    </w:p>
    <w:p>
      <w:pPr>
        <w:pStyle w:val="Caption"/>
        <w:rPr>
          <w:i w:val="false"/>
          <w:i w:val="false"/>
          <w:iCs w:val="false"/>
          <w:sz w:val="22"/>
        </w:rPr>
      </w:pPr>
      <w:r>
        <w:rPr>
          <w:i w:val="false"/>
          <w:iCs w:val="false"/>
          <w:sz w:val="22"/>
        </w:rPr>
      </w:r>
      <w:r>
        <w:br w:type="page"/>
      </w:r>
    </w:p>
    <w:p>
      <w:pPr>
        <w:pStyle w:val="Caption"/>
        <w:rPr>
          <w:sz w:val="22"/>
        </w:rPr>
      </w:pPr>
      <w:r>
        <w:rPr>
          <w:sz w:val="22"/>
        </w:rPr>
        <w:t>Secondary – Expansion of Trading and Marketing Business  (Mar-Jun02)</w:t>
      </w:r>
    </w:p>
    <w:p>
      <w:pPr>
        <w:pStyle w:val="Normal"/>
        <w:rPr>
          <w:rFonts w:ascii="Arial" w:hAnsi="Arial" w:cs="Arial"/>
          <w:sz w:val="22"/>
        </w:rPr>
      </w:pPr>
      <w:r>
        <w:rPr>
          <w:rFonts w:cs="Arial" w:ascii="Arial" w:hAnsi="Arial"/>
          <w:sz w:val="22"/>
        </w:rPr>
      </w:r>
    </w:p>
    <w:tbl>
      <w:tblPr>
        <w:tblW w:w="9540" w:type="dxa"/>
        <w:jc w:val="start"/>
        <w:tblInd w:w="108" w:type="dxa"/>
        <w:tblLayout w:type="fixed"/>
        <w:tblCellMar>
          <w:top w:w="0" w:type="dxa"/>
          <w:start w:w="108" w:type="dxa"/>
          <w:bottom w:w="0" w:type="dxa"/>
          <w:end w:w="108" w:type="dxa"/>
        </w:tblCellMar>
      </w:tblPr>
      <w:tblGrid>
        <w:gridCol w:w="2160"/>
        <w:gridCol w:w="2880"/>
        <w:gridCol w:w="1980"/>
        <w:gridCol w:w="2520"/>
      </w:tblGrid>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Action Item</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Description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Timeline</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Responsibility</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NERC Region Membership</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Representation at NERC region committees and training</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Region marketers &amp; Regulatory Affairs</w:t>
            </w:r>
          </w:p>
        </w:tc>
      </w:tr>
      <w:tr>
        <w:trPr/>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Approach Tier 2 Counterparties</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Allows for more structured (non-trading) transactions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30-60 days</w:t>
            </w:r>
          </w:p>
        </w:tc>
        <w:tc>
          <w:tcPr>
            <w:tcW w:w="252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Region Marketers</w:t>
            </w:r>
          </w:p>
        </w:tc>
      </w:tr>
    </w:tbl>
    <w:p>
      <w:pPr>
        <w:pStyle w:val="Heading1"/>
        <w:ind w:hanging="0" w:start="0"/>
        <w:rPr>
          <w:rFonts w:ascii="Arial" w:hAnsi="Arial" w:cs="Arial"/>
          <w:b w:val="false"/>
          <w:bCs w:val="false"/>
        </w:rPr>
      </w:pPr>
      <w:r>
        <w:rPr>
          <w:rFonts w:cs="Arial" w:ascii="Arial" w:hAnsi="Arial"/>
          <w:b w:val="false"/>
          <w:bCs w:val="false"/>
        </w:rPr>
      </w:r>
    </w:p>
    <w:p>
      <w:pPr>
        <w:pStyle w:val="Caption"/>
        <w:rPr>
          <w:i w:val="false"/>
          <w:i w:val="false"/>
          <w:iCs w:val="false"/>
          <w:sz w:val="22"/>
        </w:rPr>
      </w:pPr>
      <w:r>
        <w:rPr>
          <w:i w:val="false"/>
          <w:iCs w:val="false"/>
          <w:sz w:val="22"/>
        </w:rPr>
        <w:tab/>
        <w:tab/>
      </w:r>
    </w:p>
    <w:p>
      <w:pPr>
        <w:pStyle w:val="Heading1"/>
        <w:ind w:hanging="0" w:start="0"/>
        <w:rPr>
          <w:rFonts w:ascii="Arial" w:hAnsi="Arial" w:cs="Arial"/>
          <w:b w:val="false"/>
          <w:bCs w:val="false"/>
          <w:i/>
          <w:i/>
          <w:iCs/>
          <w:sz w:val="22"/>
        </w:rPr>
      </w:pPr>
      <w:r>
        <w:rPr>
          <w:rFonts w:cs="Arial" w:ascii="Arial" w:hAnsi="Arial"/>
          <w:b w:val="false"/>
          <w:bCs w:val="false"/>
          <w:i/>
          <w:iCs/>
          <w:sz w:val="22"/>
        </w:rPr>
      </w:r>
    </w:p>
    <w:p>
      <w:pPr>
        <w:pStyle w:val="Heading1"/>
        <w:ind w:hanging="0" w:start="0"/>
        <w:rPr>
          <w:rFonts w:ascii="Arial" w:hAnsi="Arial" w:cs="Arial"/>
        </w:rPr>
      </w:pPr>
      <w:r>
        <w:rPr>
          <w:rFonts w:cs="Arial" w:ascii="Arial" w:hAnsi="Arial"/>
        </w:rPr>
        <w:t>Master Trading Agreements</w:t>
      </w:r>
    </w:p>
    <w:p>
      <w:pPr>
        <w:pStyle w:val="Heading1"/>
        <w:ind w:hanging="0" w:start="0"/>
        <w:rPr>
          <w:rFonts w:ascii="Arial" w:hAnsi="Arial" w:cs="Arial"/>
          <w:b w:val="false"/>
          <w:bCs w:val="false"/>
        </w:rPr>
      </w:pPr>
      <w:r>
        <w:rPr>
          <w:rFonts w:cs="Arial" w:ascii="Arial" w:hAnsi="Arial"/>
          <w:b w:val="false"/>
          <w:bCs w:val="false"/>
        </w:rPr>
        <w:t>We intend to prioritize and get the following agreements executed with our trading partners:</w:t>
      </w:r>
    </w:p>
    <w:p>
      <w:pPr>
        <w:pStyle w:val="Normal"/>
        <w:rPr>
          <w:rFonts w:ascii="Arial" w:hAnsi="Arial" w:cs="Arial"/>
          <w:b/>
          <w:bCs/>
          <w:sz w:val="22"/>
        </w:rPr>
      </w:pPr>
      <w:r>
        <w:rPr>
          <w:rFonts w:cs="Arial" w:ascii="Arial" w:hAnsi="Arial"/>
          <w:b/>
          <w:bCs/>
          <w:sz w:val="22"/>
        </w:rPr>
      </w:r>
    </w:p>
    <w:p>
      <w:pPr>
        <w:pStyle w:val="Heading1"/>
        <w:numPr>
          <w:ilvl w:val="0"/>
          <w:numId w:val="2"/>
        </w:numPr>
        <w:rPr>
          <w:rFonts w:ascii="Arial" w:hAnsi="Arial" w:cs="Arial"/>
          <w:b w:val="false"/>
          <w:bCs w:val="false"/>
        </w:rPr>
      </w:pPr>
      <w:r>
        <w:rPr>
          <w:rFonts w:cs="Arial" w:ascii="Arial" w:hAnsi="Arial"/>
          <w:b w:val="false"/>
          <w:bCs w:val="false"/>
        </w:rPr>
        <w:t xml:space="preserve">Master Physical Trading Agreement (EEI) </w:t>
      </w:r>
    </w:p>
    <w:p>
      <w:pPr>
        <w:pStyle w:val="Heading1"/>
        <w:numPr>
          <w:ilvl w:val="0"/>
          <w:numId w:val="2"/>
        </w:numPr>
        <w:rPr>
          <w:rFonts w:ascii="Arial" w:hAnsi="Arial" w:cs="Arial"/>
          <w:b w:val="false"/>
          <w:bCs w:val="false"/>
        </w:rPr>
      </w:pPr>
      <w:r>
        <w:rPr>
          <w:rFonts w:cs="Arial" w:ascii="Arial" w:hAnsi="Arial"/>
          <w:b w:val="false"/>
          <w:bCs w:val="false"/>
        </w:rPr>
        <w:t>Master Financial Trading Agreement (ISDA)</w:t>
      </w:r>
    </w:p>
    <w:p>
      <w:pPr>
        <w:pStyle w:val="Heading1"/>
        <w:numPr>
          <w:ilvl w:val="0"/>
          <w:numId w:val="2"/>
        </w:numPr>
        <w:rPr>
          <w:rFonts w:ascii="Arial" w:hAnsi="Arial" w:cs="Arial"/>
          <w:b w:val="false"/>
          <w:bCs w:val="false"/>
        </w:rPr>
      </w:pPr>
      <w:r>
        <w:rPr>
          <w:rFonts w:cs="Arial" w:ascii="Arial" w:hAnsi="Arial"/>
          <w:b w:val="false"/>
          <w:bCs w:val="false"/>
        </w:rPr>
        <w:t>Master Netting Agreement</w:t>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rPr>
      </w:pPr>
      <w:r>
        <w:rPr>
          <w:rFonts w:cs="Arial" w:ascii="Arial" w:hAnsi="Arial"/>
        </w:rPr>
        <w:t>Transmission Service Agreements</w:t>
      </w:r>
    </w:p>
    <w:p>
      <w:pPr>
        <w:pStyle w:val="Normal"/>
        <w:rPr>
          <w:rFonts w:ascii="Arial" w:hAnsi="Arial" w:cs="Arial"/>
          <w:sz w:val="22"/>
        </w:rPr>
      </w:pPr>
      <w:r>
        <w:rPr>
          <w:rFonts w:cs="Arial" w:ascii="Arial" w:hAnsi="Arial"/>
          <w:sz w:val="22"/>
        </w:rPr>
        <w:t>We have identified Tier 1 transmission service providers (listed in the attachment) that should allow initial movement of physical power.  Additional physical power movement over secondary transmission providers can occur through sleeving and a version of parking/lending.</w:t>
      </w:r>
    </w:p>
    <w:p>
      <w:pPr>
        <w:pStyle w:val="Heading1"/>
        <w:ind w:hanging="0" w:start="0"/>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Counterparty Prioritization</w:t>
      </w:r>
    </w:p>
    <w:p>
      <w:pPr>
        <w:pStyle w:val="Heading1"/>
        <w:ind w:hanging="0" w:start="0"/>
        <w:rPr>
          <w:rFonts w:ascii="Arial" w:hAnsi="Arial" w:cs="Arial"/>
          <w:b w:val="false"/>
          <w:bCs w:val="false"/>
        </w:rPr>
      </w:pPr>
      <w:r>
        <w:rPr>
          <w:rFonts w:cs="Arial" w:ascii="Arial" w:hAnsi="Arial"/>
          <w:b w:val="false"/>
          <w:bCs w:val="false"/>
        </w:rPr>
        <w:t>We have taken our customer list and developed three Tiers from where we will prioritize getting master trading agreements in place.  For all Tier 1 counterparties we will setup meetings describing NETCO and revitalize our relationship.  Note that some of the accounts are national in scope and are being handled by the East power trading group as a whole as high priorities.  The counterparties are listed in the attachments.</w:t>
      </w:r>
    </w:p>
    <w:p>
      <w:pPr>
        <w:pStyle w:val="Normal"/>
        <w:rPr>
          <w:rFonts w:ascii="Arial" w:hAnsi="Arial" w:cs="Arial"/>
          <w:b/>
          <w:bCs/>
          <w:sz w:val="22"/>
        </w:rPr>
      </w:pPr>
      <w:r>
        <w:rPr>
          <w:rFonts w:cs="Arial" w:ascii="Arial" w:hAnsi="Arial"/>
          <w:b/>
          <w:bCs/>
          <w:sz w:val="22"/>
        </w:rPr>
      </w:r>
    </w:p>
    <w:p>
      <w:pPr>
        <w:pStyle w:val="Heading4"/>
        <w:ind w:hanging="0" w:start="0"/>
        <w:rPr>
          <w:rFonts w:ascii="Arial" w:hAnsi="Arial" w:cs="Arial"/>
          <w:sz w:val="22"/>
        </w:rPr>
      </w:pPr>
      <w:r>
        <w:rPr>
          <w:rFonts w:cs="Arial" w:ascii="Arial" w:hAnsi="Arial"/>
          <w:sz w:val="22"/>
        </w:rPr>
        <w:t>Timeline</w:t>
      </w:r>
    </w:p>
    <w:p>
      <w:pPr>
        <w:pStyle w:val="Heading1"/>
        <w:ind w:hanging="0" w:start="0"/>
        <w:rPr>
          <w:rFonts w:ascii="Arial" w:hAnsi="Arial" w:cs="Arial"/>
          <w:b w:val="false"/>
          <w:bCs w:val="false"/>
        </w:rPr>
      </w:pPr>
      <w:r>
        <w:rPr>
          <w:rFonts w:cs="Arial" w:ascii="Arial" w:hAnsi="Arial"/>
          <w:b w:val="false"/>
          <w:bCs w:val="false"/>
        </w:rPr>
        <w:t>Tier 1 – 30 to 60 days</w:t>
      </w:r>
    </w:p>
    <w:p>
      <w:pPr>
        <w:pStyle w:val="Heading1"/>
        <w:ind w:hanging="0" w:start="0"/>
        <w:rPr>
          <w:rFonts w:ascii="Arial" w:hAnsi="Arial" w:cs="Arial"/>
          <w:b w:val="false"/>
          <w:bCs w:val="false"/>
        </w:rPr>
      </w:pPr>
      <w:r>
        <w:rPr>
          <w:rFonts w:cs="Arial" w:ascii="Arial" w:hAnsi="Arial"/>
          <w:b w:val="false"/>
          <w:bCs w:val="false"/>
        </w:rPr>
        <w:t>Tier 2 – 60 to 90 days</w:t>
      </w:r>
    </w:p>
    <w:p>
      <w:pPr>
        <w:pStyle w:val="Heading1"/>
        <w:ind w:hanging="0" w:start="0"/>
        <w:rPr>
          <w:rFonts w:ascii="Arial" w:hAnsi="Arial" w:cs="Arial"/>
          <w:b w:val="false"/>
          <w:bCs w:val="false"/>
        </w:rPr>
      </w:pPr>
      <w:r>
        <w:rPr>
          <w:rFonts w:cs="Arial" w:ascii="Arial" w:hAnsi="Arial"/>
          <w:b w:val="false"/>
          <w:bCs w:val="false"/>
        </w:rPr>
        <w:t>Tier 3 – 90 to120 days (active Tier 3 counterparties only)</w:t>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rPr>
      </w:pPr>
      <w:r>
        <w:rPr>
          <w:rFonts w:cs="Arial" w:ascii="Arial" w:hAnsi="Arial"/>
        </w:rPr>
        <w:t>Business Strategy</w:t>
      </w:r>
    </w:p>
    <w:p>
      <w:pPr>
        <w:pStyle w:val="Heading1"/>
        <w:ind w:hanging="0" w:start="0"/>
        <w:rPr/>
      </w:pPr>
      <w:r>
        <w:rPr/>
        <w:tab/>
      </w:r>
      <w:r>
        <w:rPr>
          <w:rFonts w:cs="Arial" w:ascii="Arial" w:hAnsi="Arial"/>
          <w:b w:val="false"/>
          <w:bCs w:val="false"/>
          <w:u w:val="single"/>
        </w:rPr>
        <w:t>Primary</w:t>
      </w:r>
      <w:r>
        <w:rPr>
          <w:rFonts w:cs="Arial" w:ascii="Arial" w:hAnsi="Arial"/>
        </w:rPr>
        <w:tab/>
      </w:r>
    </w:p>
    <w:p>
      <w:pPr>
        <w:pStyle w:val="Heading1"/>
        <w:numPr>
          <w:ilvl w:val="0"/>
          <w:numId w:val="2"/>
        </w:numPr>
        <w:rPr>
          <w:rFonts w:ascii="Arial" w:hAnsi="Arial" w:cs="Arial"/>
          <w:b w:val="false"/>
          <w:bCs w:val="false"/>
        </w:rPr>
      </w:pPr>
      <w:r>
        <w:rPr>
          <w:rFonts w:cs="Arial" w:ascii="Arial" w:hAnsi="Arial"/>
          <w:b w:val="false"/>
          <w:bCs w:val="false"/>
        </w:rPr>
        <w:t>Get majority of Tier 1 counterparties transacting on a trading basis.</w:t>
      </w:r>
    </w:p>
    <w:p>
      <w:pPr>
        <w:pStyle w:val="Normal"/>
        <w:numPr>
          <w:ilvl w:val="0"/>
          <w:numId w:val="3"/>
        </w:numPr>
        <w:rPr>
          <w:rFonts w:ascii="Arial" w:hAnsi="Arial" w:cs="Arial"/>
          <w:sz w:val="22"/>
        </w:rPr>
      </w:pPr>
      <w:r>
        <w:rPr>
          <w:rFonts w:cs="Arial" w:ascii="Arial" w:hAnsi="Arial"/>
          <w:sz w:val="22"/>
        </w:rPr>
        <w:t>Secure positions with Tier 1 and Tier 2 counterparties that increase risk distribution channels for the trading book.</w:t>
      </w:r>
    </w:p>
    <w:p>
      <w:pPr>
        <w:pStyle w:val="Normal"/>
        <w:numPr>
          <w:ilvl w:val="0"/>
          <w:numId w:val="3"/>
        </w:numPr>
        <w:rPr>
          <w:rFonts w:ascii="Arial" w:hAnsi="Arial" w:cs="Arial"/>
          <w:sz w:val="22"/>
        </w:rPr>
      </w:pPr>
      <w:r>
        <w:rPr>
          <w:rFonts w:cs="Arial" w:ascii="Arial" w:hAnsi="Arial"/>
          <w:sz w:val="22"/>
        </w:rPr>
        <w:t>Bring in deals that have inherent optionality to limit downside risk, but allow for increased upside potential.</w:t>
      </w:r>
    </w:p>
    <w:p>
      <w:pPr>
        <w:pStyle w:val="Normal"/>
        <w:ind w:start="1080" w:end="0"/>
        <w:rPr>
          <w:rFonts w:ascii="Arial" w:hAnsi="Arial" w:cs="Arial"/>
          <w:sz w:val="22"/>
        </w:rPr>
      </w:pPr>
      <w:r>
        <w:rPr>
          <w:rFonts w:cs="Arial" w:ascii="Arial" w:hAnsi="Arial"/>
          <w:sz w:val="22"/>
        </w:rPr>
      </w:r>
    </w:p>
    <w:p>
      <w:pPr>
        <w:pStyle w:val="Normal"/>
        <w:ind w:start="720" w:end="0"/>
        <w:rPr>
          <w:rFonts w:ascii="Arial" w:hAnsi="Arial" w:cs="Arial"/>
          <w:b/>
          <w:bCs/>
          <w:sz w:val="22"/>
        </w:rPr>
      </w:pPr>
      <w:r>
        <w:rPr>
          <w:rFonts w:cs="Arial" w:ascii="Arial" w:hAnsi="Arial"/>
          <w:b/>
          <w:bCs/>
          <w:sz w:val="22"/>
        </w:rPr>
      </w:r>
    </w:p>
    <w:p>
      <w:pPr>
        <w:pStyle w:val="Heading2"/>
        <w:rPr/>
      </w:pPr>
      <w:r>
        <w:rPr/>
        <w:t>Secondary</w:t>
      </w:r>
    </w:p>
    <w:p>
      <w:pPr>
        <w:pStyle w:val="Normal"/>
        <w:numPr>
          <w:ilvl w:val="0"/>
          <w:numId w:val="4"/>
        </w:numPr>
        <w:rPr>
          <w:rFonts w:ascii="Arial" w:hAnsi="Arial" w:cs="Arial"/>
          <w:b/>
          <w:bCs/>
          <w:sz w:val="22"/>
        </w:rPr>
      </w:pPr>
      <w:r>
        <w:rPr>
          <w:rFonts w:cs="Arial" w:ascii="Arial" w:hAnsi="Arial"/>
          <w:sz w:val="22"/>
        </w:rPr>
        <w:t>All-requirements contracts with retail load and load serving entities.</w:t>
      </w:r>
    </w:p>
    <w:p>
      <w:pPr>
        <w:pStyle w:val="Normal"/>
        <w:numPr>
          <w:ilvl w:val="0"/>
          <w:numId w:val="4"/>
        </w:numPr>
        <w:rPr>
          <w:rFonts w:ascii="Arial" w:hAnsi="Arial" w:cs="Arial"/>
          <w:b/>
          <w:bCs/>
          <w:sz w:val="22"/>
        </w:rPr>
      </w:pPr>
      <w:r>
        <w:rPr>
          <w:rFonts w:cs="Arial" w:ascii="Arial" w:hAnsi="Arial"/>
          <w:sz w:val="22"/>
        </w:rPr>
        <w:t>Asset-related opportunities, including asset management and off-take, and/or asset-based call options.</w:t>
      </w:r>
    </w:p>
    <w:p>
      <w:pPr>
        <w:pStyle w:val="Normal"/>
        <w:numPr>
          <w:ilvl w:val="0"/>
          <w:numId w:val="4"/>
        </w:numPr>
        <w:rPr>
          <w:rFonts w:ascii="Arial" w:hAnsi="Arial" w:cs="Arial"/>
          <w:b/>
          <w:bCs/>
          <w:sz w:val="22"/>
        </w:rPr>
      </w:pPr>
      <w:r>
        <w:rPr>
          <w:rFonts w:cs="Arial" w:ascii="Arial" w:hAnsi="Arial"/>
          <w:sz w:val="22"/>
        </w:rPr>
        <w:t>Develop sizeable long and/or appropriately-priced short positions in illiquid regions (MAPP).</w:t>
      </w:r>
    </w:p>
    <w:p>
      <w:pPr>
        <w:pStyle w:val="Normal"/>
        <w:numPr>
          <w:ilvl w:val="0"/>
          <w:numId w:val="4"/>
        </w:numPr>
        <w:rPr>
          <w:rFonts w:ascii="Arial" w:hAnsi="Arial" w:cs="Arial"/>
          <w:b/>
          <w:bCs/>
          <w:sz w:val="22"/>
        </w:rPr>
      </w:pPr>
      <w:r>
        <w:rPr>
          <w:rFonts w:cs="Arial" w:ascii="Arial" w:hAnsi="Arial"/>
          <w:sz w:val="22"/>
        </w:rPr>
        <w:t>Look for arbitrage opportunities between markets that can be exploited with minimal capital employed (i.e. transmission)</w:t>
      </w:r>
    </w:p>
    <w:p>
      <w:pPr>
        <w:pStyle w:val="Normal"/>
        <w:ind w:start="1080" w:end="0"/>
        <w:rPr>
          <w:rFonts w:ascii="Arial" w:hAnsi="Arial" w:cs="Arial"/>
          <w:b/>
          <w:bCs/>
          <w:sz w:val="22"/>
        </w:rPr>
      </w:pPr>
      <w:r>
        <w:rPr>
          <w:rFonts w:cs="Arial" w:ascii="Arial" w:hAnsi="Arial"/>
          <w:b/>
          <w:bCs/>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b/>
          <w:bCs/>
          <w:sz w:val="22"/>
        </w:rPr>
      </w:pPr>
      <w:r>
        <w:rPr>
          <w:rFonts w:cs="Arial" w:ascii="Arial" w:hAnsi="Arial"/>
          <w:b/>
          <w:bCs/>
          <w:sz w:val="22"/>
        </w:rPr>
      </w:r>
    </w:p>
    <w:p>
      <w:pPr>
        <w:pStyle w:val="Normal"/>
        <w:rPr>
          <w:rFonts w:ascii="Arial" w:hAnsi="Arial" w:cs="Arial"/>
          <w:b/>
          <w:bCs/>
          <w:sz w:val="22"/>
        </w:rPr>
      </w:pPr>
      <w:r>
        <w:rPr>
          <w:rFonts w:cs="Arial" w:ascii="Arial" w:hAnsi="Arial"/>
          <w:b/>
          <w:bCs/>
          <w:sz w:val="28"/>
        </w:rPr>
        <w:t>Southeastern Electric Reliability Council/Florida Reliability Coordinating Council (SERC/FRCC)</w:t>
      </w:r>
    </w:p>
    <w:p>
      <w:pPr>
        <w:pStyle w:val="Normal"/>
        <w:ind w:start="1080" w:end="0"/>
        <w:rPr>
          <w:rFonts w:ascii="Arial" w:hAnsi="Arial" w:cs="Arial"/>
          <w:b/>
          <w:bCs/>
          <w:sz w:val="22"/>
        </w:rPr>
      </w:pPr>
      <w:r>
        <w:rPr>
          <w:rFonts w:cs="Arial" w:ascii="Arial" w:hAnsi="Arial"/>
          <w:b/>
          <w:bCs/>
          <w:sz w:val="22"/>
        </w:rPr>
      </w:r>
    </w:p>
    <w:tbl>
      <w:tblPr>
        <w:tblW w:w="4400" w:type="dxa"/>
        <w:jc w:val="start"/>
        <w:tblInd w:w="2649" w:type="dxa"/>
        <w:tblLayout w:type="fixed"/>
        <w:tblCellMar>
          <w:top w:w="17" w:type="dxa"/>
          <w:start w:w="17" w:type="dxa"/>
          <w:bottom w:w="0" w:type="dxa"/>
          <w:end w:w="17" w:type="dxa"/>
        </w:tblCellMar>
      </w:tblPr>
      <w:tblGrid>
        <w:gridCol w:w="960"/>
        <w:gridCol w:w="3440"/>
      </w:tblGrid>
      <w:tr>
        <w:trPr>
          <w:trHeight w:val="315" w:hRule="atLeast"/>
        </w:trPr>
        <w:tc>
          <w:tcPr>
            <w:tcW w:w="960"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Priority</w:t>
            </w:r>
          </w:p>
        </w:tc>
        <w:tc>
          <w:tcPr>
            <w:tcW w:w="3440"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SERC/FRCC</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3440"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Company Name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1</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Williams Energy Marketing &amp; Trading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Reliant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Duke Energy Trading &amp; Marketing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Dynegy Marketing &amp; Trade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Mirant Americas Energy Marketing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Morgan Stanley Capital Group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Allegheny Energy Supply Company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Virginia Electric &amp; Power Company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Sempra Energy Trading Corp.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Cargill-Alliant, LLC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FPL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NRG Marketing, Inc.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Calpine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2</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CP&amp;L</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Southern Co.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Oglethorpe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Allegheny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TVA</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Dynegy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SCEG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Cargill</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IMC Phosphates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3</w:t>
            </w:r>
          </w:p>
        </w:tc>
        <w:tc>
          <w:tcPr>
            <w:tcW w:w="34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AIG</w:t>
            </w:r>
          </w:p>
        </w:tc>
      </w:tr>
      <w:tr>
        <w:trPr>
          <w:trHeight w:val="270" w:hRule="atLeast"/>
        </w:trPr>
        <w:tc>
          <w:tcPr>
            <w:tcW w:w="960" w:type="dxa"/>
            <w:tcBorders>
              <w:start w:val="single" w:sz="4" w:space="0" w:color="000000"/>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40" w:type="dxa"/>
            <w:tcBorders>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Cogentrix</w:t>
            </w:r>
          </w:p>
        </w:tc>
      </w:tr>
    </w:tbl>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r>
        <w:br w:type="page"/>
      </w:r>
    </w:p>
    <w:p>
      <w:pPr>
        <w:pStyle w:val="BodyText"/>
        <w:rPr>
          <w:rFonts w:ascii="Arial" w:hAnsi="Arial" w:cs="Arial"/>
          <w:b/>
          <w:bCs/>
          <w:sz w:val="28"/>
        </w:rPr>
      </w:pPr>
      <w:r>
        <w:rPr>
          <w:rFonts w:cs="Arial" w:ascii="Arial" w:hAnsi="Arial"/>
          <w:b/>
          <w:bCs/>
          <w:sz w:val="28"/>
        </w:rPr>
        <w:t>Southwest Power Pool (SPP)</w:t>
      </w:r>
    </w:p>
    <w:p>
      <w:pPr>
        <w:pStyle w:val="BodyText"/>
        <w:rPr>
          <w:rFonts w:ascii="Arial" w:hAnsi="Arial" w:cs="Arial"/>
          <w:b/>
          <w:bCs/>
          <w:sz w:val="28"/>
        </w:rPr>
      </w:pPr>
      <w:r>
        <w:rPr>
          <w:rFonts w:cs="Arial" w:ascii="Arial" w:hAnsi="Arial"/>
          <w:b/>
          <w:bCs/>
          <w:sz w:val="28"/>
        </w:rPr>
      </w:r>
    </w:p>
    <w:p>
      <w:pPr>
        <w:pStyle w:val="BodyText"/>
        <w:rPr>
          <w:rFonts w:ascii="Arial" w:hAnsi="Arial" w:cs="Arial"/>
        </w:rPr>
      </w:pPr>
      <w:r>
        <w:rPr>
          <w:rFonts w:cs="Arial" w:ascii="Arial" w:hAnsi="Arial"/>
        </w:rPr>
      </w:r>
    </w:p>
    <w:tbl>
      <w:tblPr>
        <w:tblW w:w="4480" w:type="dxa"/>
        <w:jc w:val="start"/>
        <w:tblInd w:w="2607" w:type="dxa"/>
        <w:tblLayout w:type="fixed"/>
        <w:tblCellMar>
          <w:top w:w="17" w:type="dxa"/>
          <w:start w:w="17" w:type="dxa"/>
          <w:bottom w:w="0" w:type="dxa"/>
          <w:end w:w="17" w:type="dxa"/>
        </w:tblCellMar>
      </w:tblPr>
      <w:tblGrid>
        <w:gridCol w:w="960"/>
        <w:gridCol w:w="3520"/>
      </w:tblGrid>
      <w:tr>
        <w:trPr>
          <w:trHeight w:val="315" w:hRule="atLeast"/>
        </w:trPr>
        <w:tc>
          <w:tcPr>
            <w:tcW w:w="960"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Priority</w:t>
            </w:r>
          </w:p>
        </w:tc>
        <w:tc>
          <w:tcPr>
            <w:tcW w:w="3520"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SPP</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3520"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Company Name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1</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Williams Energy Marketing &amp; Trading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Aquilla Risk Management Corporation</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El Paso Merchant Energy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Reliant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Duke Energy Trading &amp; Marketing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Dynegy Marketing &amp; Trade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Morgan Stanley Capital Group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Entergy-Koch Trading L.P.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NRG Marketing, Inc.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2</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OneOk</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Energy Authority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Morgan Stanley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Entergy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Western Resources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Grand River Dam Authority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Entergy/Koch</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Cleco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Sikeston, MO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Duke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KEPCO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Dow Pipeline Co.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City of Jonesboro, AR</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SMPA</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3</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Grand River Dam Authority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UtiliCorp United (MoPub)</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East Texas Elec Co-op</w:t>
            </w:r>
          </w:p>
        </w:tc>
      </w:tr>
      <w:tr>
        <w:trPr>
          <w:trHeight w:val="270" w:hRule="atLeast"/>
        </w:trPr>
        <w:tc>
          <w:tcPr>
            <w:tcW w:w="960" w:type="dxa"/>
            <w:tcBorders>
              <w:start w:val="single" w:sz="4" w:space="0" w:color="000000"/>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520" w:type="dxa"/>
            <w:tcBorders>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Sikeston, MO</w:t>
            </w:r>
          </w:p>
        </w:tc>
      </w:tr>
    </w:tbl>
    <w:p>
      <w:pPr>
        <w:pStyle w:val="BodyText"/>
        <w:rPr>
          <w:rFonts w:ascii="Arial" w:hAnsi="Arial" w:cs="Arial"/>
        </w:rPr>
      </w:pPr>
      <w:r>
        <w:rPr>
          <w:rFonts w:cs="Arial" w:ascii="Arial" w:hAnsi="Arial"/>
        </w:rPr>
      </w:r>
      <w:r>
        <w:br w:type="page"/>
      </w:r>
    </w:p>
    <w:p>
      <w:pPr>
        <w:pStyle w:val="BodyText"/>
        <w:rPr>
          <w:rFonts w:ascii="Arial" w:hAnsi="Arial" w:cs="Arial"/>
        </w:rPr>
      </w:pPr>
      <w:r>
        <w:rPr>
          <w:rFonts w:cs="Arial" w:ascii="Arial" w:hAnsi="Arial"/>
        </w:rPr>
      </w:r>
    </w:p>
    <w:p>
      <w:pPr>
        <w:pStyle w:val="BodyText"/>
        <w:rPr>
          <w:rFonts w:ascii="Arial" w:hAnsi="Arial" w:cs="Arial"/>
          <w:b/>
          <w:bCs/>
          <w:sz w:val="28"/>
        </w:rPr>
      </w:pPr>
      <w:r>
        <w:rPr>
          <w:rFonts w:cs="Arial" w:ascii="Arial" w:hAnsi="Arial"/>
          <w:b/>
          <w:bCs/>
          <w:sz w:val="28"/>
        </w:rPr>
        <w:t>East Central Area Reliability  (ECAR)</w:t>
      </w:r>
    </w:p>
    <w:p>
      <w:pPr>
        <w:pStyle w:val="BodyText"/>
        <w:rPr>
          <w:rFonts w:ascii="Arial" w:hAnsi="Arial" w:cs="Arial"/>
          <w:b/>
          <w:bCs/>
          <w:sz w:val="28"/>
        </w:rPr>
      </w:pPr>
      <w:r>
        <w:rPr>
          <w:rFonts w:cs="Arial" w:ascii="Arial" w:hAnsi="Arial"/>
          <w:b/>
          <w:bCs/>
          <w:sz w:val="28"/>
        </w:rPr>
      </w:r>
    </w:p>
    <w:tbl>
      <w:tblPr>
        <w:tblW w:w="4720" w:type="dxa"/>
        <w:jc w:val="start"/>
        <w:tblInd w:w="2490" w:type="dxa"/>
        <w:tblLayout w:type="fixed"/>
        <w:tblCellMar>
          <w:top w:w="17" w:type="dxa"/>
          <w:start w:w="17" w:type="dxa"/>
          <w:bottom w:w="0" w:type="dxa"/>
          <w:end w:w="17" w:type="dxa"/>
        </w:tblCellMar>
      </w:tblPr>
      <w:tblGrid>
        <w:gridCol w:w="960"/>
        <w:gridCol w:w="3760"/>
      </w:tblGrid>
      <w:tr>
        <w:trPr>
          <w:trHeight w:val="315" w:hRule="atLeast"/>
        </w:trPr>
        <w:tc>
          <w:tcPr>
            <w:tcW w:w="960"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Priority</w:t>
            </w:r>
          </w:p>
        </w:tc>
        <w:tc>
          <w:tcPr>
            <w:tcW w:w="3760"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ECAR</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3760"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Company Name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1</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Williams Energy Marketing &amp; Trading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Aquilla Risk Management Corporation</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El Paso Merchant Energy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AEP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Reliant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Duke Energy Trading &amp; Marketing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Dynegy Marketing &amp; Trade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Constellation Power Source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PG&amp;E Energy Trading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Morgan Stanley Capital Group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Allegheny Energy Supply Company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Cinergy Services, Inc.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Sempra Energy Trading Corp.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DTE Energy Trading, Inc.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CMS Marketing Services &amp; Trading Co.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Northern Indiana Public Service Company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2</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Wabash Valley Power Assoc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Southern Indiana Gas and Electric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Indianapolis Power and Light</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Alcoa Generating Corp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East Kentucky Power Coop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LG&amp;E Energy Marketing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The Energy Authority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Engage Energy America</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xml:space="preserve">Dayton Power and Light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3</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960" w:type="dxa"/>
            <w:tcBorders>
              <w:start w:val="single" w:sz="4" w:space="0" w:color="000000"/>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760" w:type="dxa"/>
            <w:tcBorders>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bl>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r>
        <w:br w:type="page"/>
      </w:r>
    </w:p>
    <w:p>
      <w:pPr>
        <w:pStyle w:val="BodyText"/>
        <w:rPr>
          <w:rFonts w:ascii="Arial" w:hAnsi="Arial" w:cs="Arial"/>
        </w:rPr>
      </w:pPr>
      <w:r>
        <w:rPr>
          <w:rFonts w:cs="Arial" w:ascii="Arial" w:hAnsi="Arial"/>
        </w:rPr>
      </w:r>
    </w:p>
    <w:p>
      <w:pPr>
        <w:pStyle w:val="BodyText"/>
        <w:rPr>
          <w:rFonts w:ascii="Arial" w:hAnsi="Arial" w:cs="Arial"/>
          <w:b/>
          <w:bCs/>
          <w:sz w:val="28"/>
        </w:rPr>
      </w:pPr>
      <w:r>
        <w:rPr>
          <w:rFonts w:cs="Arial" w:ascii="Arial" w:hAnsi="Arial"/>
          <w:b/>
          <w:bCs/>
          <w:sz w:val="28"/>
        </w:rPr>
        <w:t>Mid-Continent Area Power Pool (MAPP)</w:t>
      </w:r>
    </w:p>
    <w:p>
      <w:pPr>
        <w:pStyle w:val="BodyText"/>
        <w:rPr>
          <w:rFonts w:ascii="Arial" w:hAnsi="Arial" w:cs="Arial"/>
          <w:b/>
          <w:bCs/>
          <w:sz w:val="28"/>
        </w:rPr>
      </w:pPr>
      <w:r>
        <w:rPr>
          <w:rFonts w:cs="Arial" w:ascii="Arial" w:hAnsi="Arial"/>
          <w:b/>
          <w:bCs/>
          <w:sz w:val="28"/>
        </w:rPr>
      </w:r>
    </w:p>
    <w:tbl>
      <w:tblPr>
        <w:tblW w:w="4360" w:type="dxa"/>
        <w:jc w:val="start"/>
        <w:tblInd w:w="2666" w:type="dxa"/>
        <w:tblLayout w:type="fixed"/>
        <w:tblCellMar>
          <w:top w:w="17" w:type="dxa"/>
          <w:start w:w="17" w:type="dxa"/>
          <w:bottom w:w="0" w:type="dxa"/>
          <w:end w:w="17" w:type="dxa"/>
        </w:tblCellMar>
      </w:tblPr>
      <w:tblGrid>
        <w:gridCol w:w="960"/>
        <w:gridCol w:w="3400"/>
      </w:tblGrid>
      <w:tr>
        <w:trPr>
          <w:trHeight w:val="315" w:hRule="atLeast"/>
        </w:trPr>
        <w:tc>
          <w:tcPr>
            <w:tcW w:w="960"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Priority</w:t>
            </w:r>
          </w:p>
        </w:tc>
        <w:tc>
          <w:tcPr>
            <w:tcW w:w="3400"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MAPP</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3400"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Company Name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1</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NRG Marketing, Inc.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xml:space="preserve">Exelon Generation Company,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Cargill-Alliant, LLC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xml:space="preserve">Aquilla Risk Management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Williams Energy Marketing &amp; Trading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2</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Split Rock Energy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Rainbow Energy Marketing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Manitoba Hydro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Utilicorp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3</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960" w:type="dxa"/>
            <w:tcBorders>
              <w:start w:val="single" w:sz="4" w:space="0" w:color="000000"/>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400" w:type="dxa"/>
            <w:tcBorders>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bl>
    <w:p>
      <w:pPr>
        <w:pStyle w:val="BodyText"/>
        <w:rPr>
          <w:rFonts w:ascii="Arial" w:hAnsi="Arial" w:cs="Arial"/>
        </w:rPr>
      </w:pPr>
      <w:r>
        <w:rPr>
          <w:rFonts w:cs="Arial" w:ascii="Arial" w:hAnsi="Arial"/>
        </w:rPr>
      </w:r>
      <w:r>
        <w:br w:type="page"/>
      </w:r>
    </w:p>
    <w:p>
      <w:pPr>
        <w:pStyle w:val="BodyText"/>
        <w:rPr>
          <w:rFonts w:ascii="Arial" w:hAnsi="Arial" w:cs="Arial"/>
        </w:rPr>
      </w:pPr>
      <w:r>
        <w:rPr>
          <w:rFonts w:cs="Arial" w:ascii="Arial" w:hAnsi="Arial"/>
        </w:rPr>
      </w:r>
    </w:p>
    <w:p>
      <w:pPr>
        <w:pStyle w:val="BodyText"/>
        <w:rPr>
          <w:rFonts w:ascii="Arial" w:hAnsi="Arial" w:cs="Arial"/>
          <w:b/>
          <w:bCs/>
          <w:sz w:val="28"/>
        </w:rPr>
      </w:pPr>
      <w:r>
        <w:rPr>
          <w:rFonts w:cs="Arial" w:ascii="Arial" w:hAnsi="Arial"/>
          <w:b/>
          <w:bCs/>
          <w:sz w:val="28"/>
        </w:rPr>
        <w:t>Mid-America Interconnect Network  (MAIN)</w:t>
      </w:r>
    </w:p>
    <w:p>
      <w:pPr>
        <w:pStyle w:val="BodyText"/>
        <w:rPr>
          <w:rFonts w:ascii="Arial" w:hAnsi="Arial" w:cs="Arial"/>
          <w:b/>
          <w:bCs/>
          <w:sz w:val="28"/>
        </w:rPr>
      </w:pPr>
      <w:r>
        <w:rPr>
          <w:rFonts w:cs="Arial" w:ascii="Arial" w:hAnsi="Arial"/>
          <w:b/>
          <w:bCs/>
          <w:sz w:val="28"/>
        </w:rPr>
      </w:r>
    </w:p>
    <w:tbl>
      <w:tblPr>
        <w:tblpPr w:vertAnchor="text" w:horzAnchor="margin" w:tblpXSpec="center" w:leftFromText="180" w:rightFromText="180" w:tblpY="109"/>
        <w:tblW w:w="4760" w:type="dxa"/>
        <w:jc w:val="start"/>
        <w:tblInd w:w="17" w:type="dxa"/>
        <w:tblLayout w:type="fixed"/>
        <w:tblCellMar>
          <w:top w:w="17" w:type="dxa"/>
          <w:start w:w="17" w:type="dxa"/>
          <w:bottom w:w="0" w:type="dxa"/>
          <w:end w:w="17" w:type="dxa"/>
        </w:tblCellMar>
      </w:tblPr>
      <w:tblGrid>
        <w:gridCol w:w="960"/>
        <w:gridCol w:w="3800"/>
      </w:tblGrid>
      <w:tr>
        <w:trPr>
          <w:trHeight w:val="315" w:hRule="atLeast"/>
        </w:trPr>
        <w:tc>
          <w:tcPr>
            <w:tcW w:w="960"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Priority</w:t>
            </w:r>
          </w:p>
        </w:tc>
        <w:tc>
          <w:tcPr>
            <w:tcW w:w="3800"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MAIN</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3800"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Company Name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1</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Williams Energy Marketing &amp; Trading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Aquilla Risk Management Corporation</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El Paso Merchant Energy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AEP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Reliant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Duke Energy Trading &amp; Marketing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Dynegy Marketing &amp; Trade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Constellation Power Source</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PG&amp;E Energy Trading</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Morgan Stanley Capital Group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Allegheny Energy Supply Company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Cinergy Services, Inc.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Sempra Energy Trading Corp.</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DTE Energy Trading, Inc.</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CMS Marketing Services &amp; Trading Co.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Northern Indiana Public Service Company</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2</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WPS Energy Services</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Central Illinois Light Co</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Ameren Energy Market</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MidAmerica</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3</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96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70" w:hRule="atLeast"/>
        </w:trPr>
        <w:tc>
          <w:tcPr>
            <w:tcW w:w="960" w:type="dxa"/>
            <w:tcBorders>
              <w:start w:val="single" w:sz="4" w:space="0" w:color="000000"/>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800" w:type="dxa"/>
            <w:tcBorders>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bl>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r>
        <w:br w:type="page"/>
      </w:r>
    </w:p>
    <w:p>
      <w:pPr>
        <w:pStyle w:val="BodyText"/>
        <w:rPr>
          <w:rFonts w:ascii="Arial" w:hAnsi="Arial" w:cs="Arial"/>
          <w:b/>
          <w:bCs/>
          <w:sz w:val="28"/>
        </w:rPr>
      </w:pPr>
      <w:r>
        <w:rPr>
          <w:rFonts w:cs="Arial" w:ascii="Arial" w:hAnsi="Arial"/>
          <w:b/>
          <w:bCs/>
          <w:sz w:val="28"/>
        </w:rPr>
        <w:t>Transmission Entities</w:t>
      </w:r>
    </w:p>
    <w:p>
      <w:pPr>
        <w:pStyle w:val="BodyText"/>
        <w:rPr>
          <w:rFonts w:ascii="Arial" w:hAnsi="Arial" w:cs="Arial"/>
          <w:b/>
          <w:bCs/>
          <w:sz w:val="28"/>
        </w:rPr>
      </w:pPr>
      <w:r>
        <w:rPr>
          <w:rFonts w:cs="Arial" w:ascii="Arial" w:hAnsi="Arial"/>
          <w:b/>
          <w:bCs/>
          <w:sz w:val="28"/>
        </w:rPr>
      </w:r>
    </w:p>
    <w:p>
      <w:pPr>
        <w:pStyle w:val="BodyText"/>
        <w:rPr>
          <w:rFonts w:ascii="Arial" w:hAnsi="Arial" w:cs="Arial"/>
        </w:rPr>
      </w:pPr>
      <w:r>
        <w:rPr>
          <w:rFonts w:cs="Arial" w:ascii="Arial" w:hAnsi="Arial"/>
        </w:rPr>
      </w:r>
    </w:p>
    <w:tbl>
      <w:tblPr>
        <w:tblW w:w="4720" w:type="dxa"/>
        <w:jc w:val="start"/>
        <w:tblInd w:w="2490" w:type="dxa"/>
        <w:tblLayout w:type="fixed"/>
        <w:tblCellMar>
          <w:top w:w="17" w:type="dxa"/>
          <w:start w:w="17" w:type="dxa"/>
          <w:bottom w:w="0" w:type="dxa"/>
          <w:end w:w="17" w:type="dxa"/>
        </w:tblCellMar>
      </w:tblPr>
      <w:tblGrid>
        <w:gridCol w:w="1880"/>
        <w:gridCol w:w="2840"/>
      </w:tblGrid>
      <w:tr>
        <w:trPr>
          <w:trHeight w:val="315" w:hRule="atLeast"/>
        </w:trPr>
        <w:tc>
          <w:tcPr>
            <w:tcW w:w="1880"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Priority</w:t>
            </w:r>
          </w:p>
        </w:tc>
        <w:tc>
          <w:tcPr>
            <w:tcW w:w="2840"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Transmission</w:t>
            </w:r>
          </w:p>
        </w:tc>
      </w:tr>
      <w:tr>
        <w:trPr>
          <w:trHeight w:val="255" w:hRule="atLeast"/>
        </w:trPr>
        <w:tc>
          <w:tcPr>
            <w:tcW w:w="188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840"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Company Name</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I</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FRCC</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FPL</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FPC</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JEA</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SERC</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GTC</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TVA</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Southern</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Duke</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AECI</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CPL East/West</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MAIN/MAPP/SPP</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xml:space="preserve">Entergy </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SPP</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Ameren</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MAPP F</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i/>
                <w:i/>
                <w:iCs/>
                <w:sz w:val="20"/>
                <w:szCs w:val="20"/>
              </w:rPr>
            </w:pPr>
            <w:r>
              <w:rPr>
                <w:rFonts w:cs="Arial" w:ascii="Arial" w:hAnsi="Arial"/>
                <w:i/>
                <w:i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NIPSCO</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i/>
                <w:i/>
                <w:iCs/>
                <w:sz w:val="20"/>
                <w:szCs w:val="20"/>
              </w:rPr>
            </w:pPr>
            <w:r>
              <w:rPr>
                <w:rFonts w:cs="Arial" w:ascii="Arial" w:hAnsi="Arial"/>
                <w:i/>
                <w:iCs/>
                <w:sz w:val="20"/>
                <w:szCs w:val="20"/>
              </w:rPr>
              <w:t>ECAR</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LG&amp;E</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Comed/Exelon</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Cinergy</w:t>
            </w:r>
          </w:p>
        </w:tc>
      </w:tr>
      <w:tr>
        <w:trPr>
          <w:trHeight w:val="255" w:hRule="atLeast"/>
        </w:trPr>
        <w:tc>
          <w:tcPr>
            <w:tcW w:w="1880" w:type="dxa"/>
            <w:tcBorders>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AEP</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II</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IPL</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SCEG</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Santee</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Tallahassee</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Associated</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DPL</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IP-Dynegy</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BREC</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MEAG/OPC</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First Energy</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Alliant East/West</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EKPC</w:t>
            </w:r>
          </w:p>
        </w:tc>
      </w:tr>
      <w:tr>
        <w:trPr>
          <w:trHeight w:val="255" w:hRule="atLeast"/>
        </w:trPr>
        <w:tc>
          <w:tcPr>
            <w:tcW w:w="1880"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MPS</w:t>
            </w:r>
          </w:p>
        </w:tc>
      </w:tr>
      <w:tr>
        <w:trPr>
          <w:trHeight w:val="255" w:hRule="atLeast"/>
        </w:trPr>
        <w:tc>
          <w:tcPr>
            <w:tcW w:w="1880"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284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NIPSCO</w:t>
            </w:r>
          </w:p>
        </w:tc>
      </w:tr>
    </w:tbl>
    <w:p>
      <w:pPr>
        <w:pStyle w:val="BodyText"/>
        <w:rPr>
          <w:rFonts w:ascii="Arial" w:hAnsi="Arial" w:cs="Arial"/>
        </w:rPr>
      </w:pPr>
      <w:r>
        <w:rPr>
          <w:rFonts w:cs="Arial" w:ascii="Arial" w:hAnsi="Arial"/>
        </w:rPr>
      </w:r>
      <w:r>
        <w:br w:type="page"/>
      </w:r>
    </w:p>
    <w:p>
      <w:pPr>
        <w:pStyle w:val="BodyText"/>
        <w:rPr>
          <w:rFonts w:ascii="Arial" w:hAnsi="Arial" w:cs="Arial"/>
          <w:b/>
          <w:bCs/>
          <w:sz w:val="28"/>
        </w:rPr>
      </w:pPr>
      <w:r>
        <w:rPr>
          <w:rFonts w:cs="Arial" w:ascii="Arial" w:hAnsi="Arial"/>
          <w:b/>
          <w:bCs/>
          <w:sz w:val="28"/>
        </w:rPr>
        <w:t>Park and Lend Entities</w:t>
      </w:r>
    </w:p>
    <w:tbl>
      <w:tblPr>
        <w:tblpPr w:vertAnchor="text" w:horzAnchor="margin" w:tblpXSpec="center" w:leftFromText="180" w:rightFromText="180" w:tblpY="109"/>
        <w:tblW w:w="4760" w:type="dxa"/>
        <w:jc w:val="start"/>
        <w:tblInd w:w="17" w:type="dxa"/>
        <w:tblLayout w:type="fixed"/>
        <w:tblCellMar>
          <w:top w:w="17" w:type="dxa"/>
          <w:start w:w="17" w:type="dxa"/>
          <w:bottom w:w="0" w:type="dxa"/>
          <w:end w:w="17" w:type="dxa"/>
        </w:tblCellMar>
      </w:tblPr>
      <w:tblGrid>
        <w:gridCol w:w="1068"/>
        <w:gridCol w:w="3692"/>
      </w:tblGrid>
      <w:tr>
        <w:trPr>
          <w:trHeight w:val="315" w:hRule="atLeast"/>
        </w:trPr>
        <w:tc>
          <w:tcPr>
            <w:tcW w:w="1068" w:type="dxa"/>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Priority</w:t>
            </w:r>
          </w:p>
        </w:tc>
        <w:tc>
          <w:tcPr>
            <w:tcW w:w="3692" w:type="dxa"/>
            <w:tcBorders>
              <w:top w:val="single" w:sz="4" w:space="0" w:color="000000"/>
              <w:end w:val="single" w:sz="4" w:space="0" w:color="000000"/>
            </w:tcBorders>
            <w:vAlign w:val="bottom"/>
          </w:tcPr>
          <w:p>
            <w:pPr>
              <w:pStyle w:val="Normal"/>
              <w:jc w:val="center"/>
              <w:rPr>
                <w:rFonts w:ascii="Arial" w:hAnsi="Arial" w:eastAsia="Arial Unicode MS" w:cs="Arial"/>
                <w:b/>
                <w:bCs/>
              </w:rPr>
            </w:pPr>
            <w:r>
              <w:rPr>
                <w:rFonts w:cs="Arial" w:ascii="Arial" w:hAnsi="Arial"/>
                <w:b/>
                <w:bCs/>
              </w:rPr>
              <w:t>Park and Lend</w:t>
            </w:r>
          </w:p>
        </w:tc>
      </w:tr>
      <w:tr>
        <w:trPr>
          <w:trHeight w:val="255" w:hRule="atLeast"/>
        </w:trPr>
        <w:tc>
          <w:tcPr>
            <w:tcW w:w="1068"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3692" w:type="dxa"/>
            <w:tcBorders>
              <w:bottom w:val="single" w:sz="4" w:space="0" w:color="000000"/>
              <w:end w:val="single" w:sz="4" w:space="0" w:color="000000"/>
            </w:tcBorders>
            <w:vAlign w:val="bottom"/>
          </w:tcPr>
          <w:p>
            <w:pPr>
              <w:pStyle w:val="Normal"/>
              <w:jc w:val="center"/>
              <w:rPr>
                <w:rFonts w:ascii="Arial" w:hAnsi="Arial" w:eastAsia="Arial Unicode MS" w:cs="Arial"/>
                <w:b/>
                <w:bCs/>
                <w:sz w:val="20"/>
                <w:szCs w:val="20"/>
              </w:rPr>
            </w:pPr>
            <w:r>
              <w:rPr>
                <w:rFonts w:cs="Arial" w:ascii="Arial" w:hAnsi="Arial"/>
                <w:b/>
                <w:bCs/>
                <w:sz w:val="20"/>
                <w:szCs w:val="20"/>
              </w:rPr>
              <w:t>Company Name</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b/>
                <w:bCs/>
                <w:sz w:val="20"/>
                <w:szCs w:val="20"/>
              </w:rPr>
            </w:pPr>
            <w:r>
              <w:rPr>
                <w:rFonts w:cs="Arial" w:ascii="Arial" w:hAnsi="Arial"/>
                <w:b/>
                <w:bCs/>
                <w:sz w:val="20"/>
                <w:szCs w:val="20"/>
              </w:rPr>
              <w:t>Tier I</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Southern Indiana Gas and Electric</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Indianapolis Power and Light</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East Kentucky Power Coop</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xml:space="preserve">Dayton Power and Light </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Western Resources</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Associated Electric Co-op</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Oglethorpe Power Co.</w:t>
            </w:r>
          </w:p>
        </w:tc>
      </w:tr>
      <w:tr>
        <w:trPr>
          <w:trHeight w:val="255" w:hRule="atLeast"/>
        </w:trPr>
        <w:tc>
          <w:tcPr>
            <w:tcW w:w="1068" w:type="dxa"/>
            <w:tcBorders>
              <w:start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Duke Power</w:t>
            </w:r>
          </w:p>
        </w:tc>
      </w:tr>
      <w:tr>
        <w:trPr>
          <w:trHeight w:val="270" w:hRule="atLeast"/>
        </w:trPr>
        <w:tc>
          <w:tcPr>
            <w:tcW w:w="1068" w:type="dxa"/>
            <w:tcBorders>
              <w:start w:val="single" w:sz="4" w:space="0" w:color="000000"/>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3692" w:type="dxa"/>
            <w:tcBorders>
              <w:bottom w:val="single" w:sz="8"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Jacksonville Energy Authority</w:t>
            </w:r>
          </w:p>
        </w:tc>
      </w:tr>
    </w:tbl>
    <w:p>
      <w:pPr>
        <w:pStyle w:val="BodyText"/>
        <w:rPr>
          <w:rFonts w:ascii="Arial" w:hAnsi="Arial" w:cs="Arial"/>
        </w:rPr>
      </w:pPr>
      <w:r>
        <w:rPr>
          <w:rFonts w:cs="Arial" w:ascii="Arial" w:hAnsi="Arial"/>
        </w:rPr>
      </w:r>
    </w:p>
    <w:sectPr>
      <w:type w:val="nextPage"/>
      <w:pgSz w:w="12240" w:h="15840"/>
      <w:pgMar w:left="1260" w:right="720" w:gutter="0" w:header="0" w:top="90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abstractNum>
  <w:abstractNum w:abstractNumId="4">
    <w:lvl w:ilvl="0">
      <w:start w:val="1"/>
      <w:numFmt w:val="bullet"/>
      <w:lvlText w:val=""/>
      <w:lvlJc w:val="start"/>
      <w:pPr>
        <w:tabs>
          <w:tab w:val="num" w:pos="1440"/>
        </w:tabs>
        <w:ind w:start="144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paragraph" w:styleId="Heading2">
    <w:name w:val="heading 2"/>
    <w:basedOn w:val="Normal"/>
    <w:next w:val="Normal"/>
    <w:qFormat/>
    <w:pPr>
      <w:keepNext w:val="true"/>
      <w:numPr>
        <w:ilvl w:val="1"/>
        <w:numId w:val="1"/>
      </w:numPr>
      <w:ind w:firstLine="720" w:start="0" w:end="0"/>
      <w:outlineLvl w:val="1"/>
    </w:pPr>
    <w:rPr>
      <w:rFonts w:ascii="Arial" w:hAnsi="Arial" w:cs="Arial"/>
      <w:sz w:val="22"/>
      <w:u w:val="single"/>
    </w:rPr>
  </w:style>
  <w:style w:type="paragraph" w:styleId="Heading3">
    <w:name w:val="heading 3"/>
    <w:basedOn w:val="Normal"/>
    <w:next w:val="Normal"/>
    <w:qFormat/>
    <w:pPr>
      <w:keepNext w:val="true"/>
      <w:numPr>
        <w:ilvl w:val="2"/>
        <w:numId w:val="1"/>
      </w:numPr>
      <w:ind w:hanging="0" w:start="360" w:end="0"/>
      <w:outlineLvl w:val="2"/>
    </w:pPr>
    <w:rPr>
      <w:rFonts w:ascii="Arial" w:hAnsi="Arial" w:cs="Arial"/>
      <w:sz w:val="22"/>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ind w:hanging="0" w:start="720" w:end="0"/>
      <w:outlineLvl w:val="4"/>
    </w:pPr>
    <w:rPr>
      <w:rFonts w:ascii="Arial" w:hAnsi="Arial" w:cs="Arial"/>
      <w:sz w:val="22"/>
      <w:u w:val="single"/>
    </w:rPr>
  </w:style>
  <w:style w:type="paragraph" w:styleId="Heading6">
    <w:name w:val="heading 6"/>
    <w:basedOn w:val="Normal"/>
    <w:next w:val="Normal"/>
    <w:qFormat/>
    <w:pPr>
      <w:keepNext w:val="true"/>
      <w:numPr>
        <w:ilvl w:val="5"/>
        <w:numId w:val="1"/>
      </w:numPr>
      <w:outlineLvl w:val="5"/>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Times New Roman" w:hAnsi="Times New Roman" w:eastAsia="Times New Roman" w:cs="Times New Roman"/>
    </w:rPr>
  </w:style>
  <w:style w:type="character" w:styleId="WW8Num3z3">
    <w:name w:val="WW8Num3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i/>
      <w:iCs/>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2002-01-04T19:01:00Z</dcterms:created>
  <dc:creator>Doug and Killian Gilbert-Smith</dc:creator>
  <dc:description/>
  <dc:language>en-CA</dc:language>
  <cp:lastModifiedBy>mrobins</cp:lastModifiedBy>
  <cp:lastPrinted>2002-01-04T14:26:00Z</cp:lastPrinted>
  <dcterms:modified xsi:type="dcterms:W3CDTF">2002-01-04T19:01:00Z</dcterms:modified>
  <cp:revision>2</cp:revision>
  <dc:subject/>
  <dc:title>Wholesale Power Trading and Marketing</dc:title>
</cp:coreProperties>
</file>