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sz w:val="22"/>
        </w:rPr>
      </w:pPr>
      <w:r>
        <w:rPr>
          <w:rFonts w:cs="Arial" w:ascii="Arial" w:hAnsi="Arial"/>
          <w:sz w:val="22"/>
        </w:rPr>
        <w:t>NETCO - 2002 ERCOT Business Plan</w:t>
      </w:r>
    </w:p>
    <w:p>
      <w:pPr>
        <w:pStyle w:val="Normal"/>
        <w:rPr>
          <w:rFonts w:ascii="Arial" w:hAnsi="Arial" w:cs="Arial"/>
          <w:sz w:val="22"/>
        </w:rPr>
      </w:pPr>
      <w:r>
        <w:rPr>
          <w:rFonts w:cs="Arial" w:ascii="Arial" w:hAnsi="Arial"/>
          <w:sz w:val="22"/>
        </w:rPr>
      </w:r>
    </w:p>
    <w:p>
      <w:pPr>
        <w:pStyle w:val="Subtitle"/>
        <w:rPr>
          <w:rFonts w:ascii="Arial" w:hAnsi="Arial" w:cs="Arial"/>
          <w:sz w:val="22"/>
        </w:rPr>
      </w:pPr>
      <w:r>
        <w:rPr>
          <w:rFonts w:cs="Arial" w:ascii="Arial" w:hAnsi="Arial"/>
          <w:sz w:val="22"/>
        </w:rPr>
      </w:r>
    </w:p>
    <w:p>
      <w:pPr>
        <w:pStyle w:val="Subtitle"/>
        <w:rPr>
          <w:rFonts w:ascii="Arial" w:hAnsi="Arial" w:cs="Arial"/>
          <w:sz w:val="22"/>
        </w:rPr>
      </w:pPr>
      <w:r>
        <w:rPr>
          <w:rFonts w:cs="Arial" w:ascii="Arial" w:hAnsi="Arial"/>
          <w:sz w:val="22"/>
        </w:rPr>
        <w:t>Executive Summary</w:t>
      </w:r>
    </w:p>
    <w:p>
      <w:pPr>
        <w:pStyle w:val="BodyText"/>
        <w:rPr>
          <w:rFonts w:ascii="Arial" w:hAnsi="Arial" w:cs="Arial"/>
          <w:sz w:val="22"/>
        </w:rPr>
      </w:pPr>
      <w:r>
        <w:rPr>
          <w:rFonts w:cs="Arial" w:ascii="Arial" w:hAnsi="Arial"/>
          <w:sz w:val="22"/>
        </w:rPr>
      </w:r>
    </w:p>
    <w:p>
      <w:pPr>
        <w:pStyle w:val="BodyText"/>
        <w:rPr>
          <w:rFonts w:ascii="Arial" w:hAnsi="Arial" w:cs="Arial"/>
        </w:rPr>
      </w:pPr>
      <w:r>
        <w:rPr>
          <w:rFonts w:cs="Arial" w:ascii="Arial" w:hAnsi="Arial"/>
        </w:rPr>
        <w:t>Over the last year a fundamental shift has occurred in ERCOT resulting in a substantial opportunity for profit. Deregulation has taken the price risk associated with power supply away from the rate base and dispersed it through every component of the value chain. Faced with these newfound risks, market participants are now searching for new ways to manage their businesses. This presents an opportunity for NETCO to develop strategies to deal with these new market conditions.</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Here is the restart/integration plan (cost estimated to be less than $2 million):</w:t>
      </w:r>
    </w:p>
    <w:p>
      <w:pPr>
        <w:pStyle w:val="BodyText"/>
        <w:rPr>
          <w:rFonts w:ascii="Arial" w:hAnsi="Arial" w:cs="Arial"/>
        </w:rPr>
      </w:pPr>
      <w:r>
        <w:rPr>
          <w:rFonts w:cs="Arial" w:ascii="Arial" w:hAnsi="Arial"/>
        </w:rPr>
      </w:r>
    </w:p>
    <w:p>
      <w:pPr>
        <w:pStyle w:val="BodyText"/>
        <w:rPr/>
      </w:pPr>
      <w:r>
        <w:rPr>
          <w:rFonts w:cs="Arial" w:ascii="Arial" w:hAnsi="Arial"/>
          <w:i/>
          <w:iCs/>
        </w:rPr>
        <w:t>Start Physical Trading (Jan-Feb02)</w:t>
      </w:r>
      <w:r>
        <w:rPr>
          <w:rFonts w:cs="Arial" w:ascii="Arial" w:hAnsi="Arial"/>
        </w:rPr>
        <w:t xml:space="preserve"> – Due to ERCOT not being regulated by FERC, the ERCOT marketing and trading team should be able to conduct physical business in 30 to 45 days with approximately 18 Tier 1 counterparties (some of which will be obtained by others since they are national accounts).  In this timeframe we should have physical power master trading agreements in place and the various certifications necessary with the State of Texas and ERCOT.  </w:t>
      </w:r>
    </w:p>
    <w:p>
      <w:pPr>
        <w:pStyle w:val="BodyText"/>
        <w:rPr>
          <w:rFonts w:ascii="Arial" w:hAnsi="Arial" w:cs="Arial"/>
          <w:i/>
          <w:i/>
          <w:iCs/>
        </w:rPr>
      </w:pPr>
      <w:r>
        <w:rPr>
          <w:rFonts w:cs="Arial" w:ascii="Arial" w:hAnsi="Arial"/>
          <w:i/>
          <w:iCs/>
        </w:rPr>
      </w:r>
    </w:p>
    <w:p>
      <w:pPr>
        <w:pStyle w:val="BodyText"/>
        <w:rPr/>
      </w:pPr>
      <w:r>
        <w:rPr>
          <w:rFonts w:cs="Arial" w:ascii="Arial" w:hAnsi="Arial"/>
          <w:i/>
          <w:iCs/>
        </w:rPr>
        <w:t>Expanding Business (Mar-Jun02)</w:t>
      </w:r>
      <w:r>
        <w:rPr>
          <w:rFonts w:cs="Arial" w:ascii="Arial" w:hAnsi="Arial"/>
        </w:rPr>
        <w:t xml:space="preserve"> –  Master trading agreements with Tier 2 and some Tier 3 customers will be obtained.  Further certifications will be obtained to allow us to serve industrials and other retail players as well as become a participant in ERCOT committees to influence market decisions.  In addition, we will become qualified for the Transmission Congestion Right auctions to trade zonal basis.</w:t>
      </w:r>
    </w:p>
    <w:p>
      <w:pPr>
        <w:pStyle w:val="BodyText"/>
        <w:rPr>
          <w:rFonts w:ascii="Arial" w:hAnsi="Arial" w:cs="Arial"/>
        </w:rPr>
      </w:pPr>
      <w:r>
        <w:rPr>
          <w:rFonts w:cs="Arial" w:ascii="Arial" w:hAnsi="Arial"/>
        </w:rPr>
      </w:r>
    </w:p>
    <w:p>
      <w:pPr>
        <w:pStyle w:val="BodyText"/>
        <w:rPr/>
      </w:pPr>
      <w:r>
        <w:rPr>
          <w:rFonts w:cs="Arial" w:ascii="Arial" w:hAnsi="Arial"/>
          <w:i/>
          <w:iCs/>
        </w:rPr>
        <w:t>Further Developing Business (Jul-Dec02)</w:t>
      </w:r>
      <w:r>
        <w:rPr>
          <w:rFonts w:cs="Arial" w:ascii="Arial" w:hAnsi="Arial"/>
        </w:rPr>
        <w:t xml:space="preserve"> – Lastly, more Tier 3 customers will be approached for master contracts.  NETCO would be qualified for capacity auctions, REC trading, and delivering power into and out of ERCOT through HVDC ties.</w:t>
      </w:r>
    </w:p>
    <w:p>
      <w:pPr>
        <w:pStyle w:val="Normal"/>
        <w:rPr>
          <w:rFonts w:ascii="Arial" w:hAnsi="Arial" w:cs="Arial"/>
          <w:sz w:val="22"/>
        </w:rPr>
      </w:pPr>
      <w:r>
        <w:rPr>
          <w:rFonts w:cs="Arial" w:ascii="Arial" w:hAnsi="Arial"/>
          <w:sz w:val="22"/>
        </w:rPr>
      </w:r>
    </w:p>
    <w:p>
      <w:pPr>
        <w:pStyle w:val="Normal"/>
        <w:rPr/>
      </w:pPr>
      <w:r>
        <w:rPr>
          <w:rFonts w:cs="Arial" w:ascii="Arial" w:hAnsi="Arial"/>
          <w:sz w:val="22"/>
          <w:u w:val="single"/>
        </w:rPr>
        <w:t>Overall Strategy</w:t>
      </w:r>
      <w:r>
        <w:rPr>
          <w:rFonts w:cs="Arial" w:ascii="Arial" w:hAnsi="Arial"/>
          <w:sz w:val="22"/>
        </w:rPr>
        <w:t xml:space="preserve"> – Focus will be on building the trading business and landing as many profitable marketing deals as possible.  Emphasis will be placed on immediate earnings.  Market trends will be focused on to create structured products and opportunities for positions through trading products and customer deals.</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Restart/Integration Plan</w:t>
      </w:r>
    </w:p>
    <w:p>
      <w:pPr>
        <w:pStyle w:val="Heading1"/>
        <w:ind w:hanging="0" w:start="0"/>
        <w:rPr>
          <w:rFonts w:ascii="Arial" w:hAnsi="Arial" w:cs="Arial"/>
          <w:b w:val="false"/>
          <w:bCs w:val="false"/>
        </w:rPr>
      </w:pPr>
      <w:r>
        <w:rPr>
          <w:rFonts w:cs="Arial" w:ascii="Arial" w:hAnsi="Arial"/>
          <w:b w:val="false"/>
          <w:bCs w:val="false"/>
        </w:rPr>
        <w:t>The following action items need to be completed to facilitate NETCO’s power trading and marketing business in ERCOT.</w:t>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i/>
          <w:i/>
          <w:iCs/>
        </w:rPr>
      </w:pPr>
      <w:r>
        <w:rPr>
          <w:rFonts w:cs="Arial" w:ascii="Arial" w:hAnsi="Arial"/>
          <w:b w:val="false"/>
          <w:bCs w:val="false"/>
          <w:i/>
          <w:iCs/>
        </w:rPr>
        <w:t>High Priority – Necessary to Start Physical Trading in ERCOT (Jan – Feb02)</w:t>
      </w:r>
    </w:p>
    <w:p>
      <w:pPr>
        <w:pStyle w:val="Normal"/>
        <w:rPr>
          <w:rFonts w:ascii="Arial" w:hAnsi="Arial" w:cs="Arial"/>
          <w:b/>
          <w:bCs/>
          <w:i/>
          <w:i/>
          <w:iCs/>
          <w:sz w:val="22"/>
        </w:rPr>
      </w:pPr>
      <w:r>
        <w:rPr>
          <w:rFonts w:cs="Arial" w:ascii="Arial" w:hAnsi="Arial"/>
          <w:b/>
          <w:bCs/>
          <w:i/>
          <w:iCs/>
          <w:sz w:val="22"/>
        </w:rPr>
      </w:r>
    </w:p>
    <w:tbl>
      <w:tblPr>
        <w:tblW w:w="10080" w:type="dxa"/>
        <w:jc w:val="start"/>
        <w:tblInd w:w="108" w:type="dxa"/>
        <w:tblLayout w:type="fixed"/>
        <w:tblCellMar>
          <w:top w:w="0" w:type="dxa"/>
          <w:start w:w="108" w:type="dxa"/>
          <w:bottom w:w="0" w:type="dxa"/>
          <w:end w:w="108" w:type="dxa"/>
        </w:tblCellMar>
      </w:tblPr>
      <w:tblGrid>
        <w:gridCol w:w="1800"/>
        <w:gridCol w:w="3240"/>
        <w:gridCol w:w="1980"/>
        <w:gridCol w:w="1260"/>
        <w:gridCol w:w="180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Action Item</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Description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Timeline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Responsibility</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QSE Certification</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Enables scheduling with the ERCOT ISO</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30-45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 xml:space="preserve">$50,000+ collateral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Day/Pacheco</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PUCT Certification</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Registration with the State of Texas as a participant</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Day/Pacheco</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ESCA Software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Updates to current settlement and scheduling software</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$1.8 MM</w:t>
            </w:r>
          </w:p>
          <w:p>
            <w:pPr>
              <w:pStyle w:val="Normal"/>
              <w:jc w:val="center"/>
              <w:rPr>
                <w:rFonts w:ascii="Arial" w:hAnsi="Arial" w:cs="Arial"/>
                <w:sz w:val="22"/>
              </w:rPr>
            </w:pPr>
            <w:r>
              <w:rPr>
                <w:rFonts w:cs="Arial" w:ascii="Arial" w:hAnsi="Arial"/>
                <w:sz w:val="22"/>
              </w:rPr>
              <w:t>(note 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Will/Day</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Counterparty</w:t>
            </w:r>
          </w:p>
          <w:p>
            <w:pPr>
              <w:pStyle w:val="Normal"/>
              <w:rPr>
                <w:rFonts w:ascii="Arial" w:hAnsi="Arial" w:cs="Arial"/>
                <w:sz w:val="22"/>
              </w:rPr>
            </w:pPr>
            <w:r>
              <w:rPr>
                <w:rFonts w:cs="Arial" w:ascii="Arial" w:hAnsi="Arial"/>
                <w:sz w:val="22"/>
              </w:rPr>
              <w:t>Master Trading Agreements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Enables financial and physical trades between NETCO and counterparties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Tier 1 – 30 days</w:t>
            </w:r>
          </w:p>
          <w:p>
            <w:pPr>
              <w:pStyle w:val="Normal"/>
              <w:jc w:val="center"/>
              <w:rPr>
                <w:rFonts w:ascii="Arial" w:hAnsi="Arial" w:cs="Arial"/>
                <w:sz w:val="22"/>
              </w:rPr>
            </w:pPr>
            <w:r>
              <w:rPr>
                <w:rFonts w:cs="Arial" w:ascii="Arial" w:hAnsi="Arial"/>
                <w:sz w:val="22"/>
              </w:rPr>
              <w:t>(see below)</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 xml:space="preserve">collateral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Curry/Gilbert-Smith</w:t>
            </w:r>
          </w:p>
        </w:tc>
      </w:tr>
    </w:tbl>
    <w:p>
      <w:pPr>
        <w:pStyle w:val="Caption"/>
        <w:rPr>
          <w:i w:val="false"/>
          <w:i w:val="false"/>
          <w:iCs w:val="false"/>
          <w:sz w:val="22"/>
          <w:u w:val="single"/>
        </w:rPr>
      </w:pPr>
      <w:r>
        <w:rPr>
          <w:i w:val="false"/>
          <w:iCs w:val="false"/>
          <w:sz w:val="22"/>
          <w:u w:val="single"/>
        </w:rPr>
      </w:r>
    </w:p>
    <w:p>
      <w:pPr>
        <w:pStyle w:val="Caption"/>
        <w:rPr/>
      </w:pPr>
      <w:r>
        <w:rPr>
          <w:i w:val="false"/>
          <w:iCs w:val="false"/>
          <w:sz w:val="18"/>
          <w:u w:val="single"/>
        </w:rPr>
        <w:t>Note 1</w:t>
      </w:r>
      <w:r>
        <w:rPr>
          <w:i w:val="false"/>
          <w:iCs w:val="false"/>
          <w:sz w:val="18"/>
        </w:rPr>
        <w:t>:  This includes a $1.5 million outstanding liability to ESCA (software developer).  We will need to get various upgrades to the scheduling and settlement software from ESCA and believe that they will require this liability to be paid prior to any continuing development.  Conveyance of this software will need to be included in NETCO.</w:t>
      </w:r>
    </w:p>
    <w:p>
      <w:pPr>
        <w:pStyle w:val="Caption"/>
        <w:rPr>
          <w:i w:val="false"/>
          <w:i w:val="false"/>
          <w:iCs w:val="false"/>
          <w:sz w:val="22"/>
        </w:rPr>
      </w:pPr>
      <w:r>
        <w:rPr>
          <w:i w:val="false"/>
          <w:iCs w:val="false"/>
          <w:sz w:val="22"/>
        </w:rPr>
        <w:tab/>
        <w:tab/>
      </w:r>
    </w:p>
    <w:p>
      <w:pPr>
        <w:pStyle w:val="Caption"/>
        <w:rPr>
          <w:i w:val="false"/>
          <w:i w:val="false"/>
          <w:iCs w:val="false"/>
          <w:sz w:val="22"/>
        </w:rPr>
      </w:pPr>
      <w:r>
        <w:rPr>
          <w:i w:val="false"/>
          <w:iCs w:val="false"/>
          <w:sz w:val="22"/>
        </w:rPr>
      </w:r>
      <w:r>
        <w:br w:type="page"/>
      </w:r>
    </w:p>
    <w:p>
      <w:pPr>
        <w:pStyle w:val="Caption"/>
        <w:rPr>
          <w:sz w:val="22"/>
        </w:rPr>
      </w:pPr>
      <w:r>
        <w:rPr>
          <w:sz w:val="22"/>
        </w:rPr>
        <w:t>Secondary – Expansion of Trading and Marketing Business  (Mar-Jun02)</w:t>
      </w:r>
    </w:p>
    <w:p>
      <w:pPr>
        <w:pStyle w:val="Normal"/>
        <w:rPr>
          <w:rFonts w:ascii="Arial" w:hAnsi="Arial" w:cs="Arial"/>
          <w:sz w:val="22"/>
        </w:rPr>
      </w:pPr>
      <w:r>
        <w:rPr>
          <w:rFonts w:cs="Arial" w:ascii="Arial" w:hAnsi="Arial"/>
          <w:sz w:val="22"/>
        </w:rPr>
      </w:r>
    </w:p>
    <w:tbl>
      <w:tblPr>
        <w:tblW w:w="10080" w:type="dxa"/>
        <w:jc w:val="start"/>
        <w:tblInd w:w="108" w:type="dxa"/>
        <w:tblLayout w:type="fixed"/>
        <w:tblCellMar>
          <w:top w:w="0" w:type="dxa"/>
          <w:start w:w="108" w:type="dxa"/>
          <w:bottom w:w="0" w:type="dxa"/>
          <w:end w:w="108" w:type="dxa"/>
        </w:tblCellMar>
      </w:tblPr>
      <w:tblGrid>
        <w:gridCol w:w="1800"/>
        <w:gridCol w:w="3240"/>
        <w:gridCol w:w="1980"/>
        <w:gridCol w:w="1260"/>
        <w:gridCol w:w="180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Action Item</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Description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Timeline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Responsibility</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ERCOT Membership</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Representation at ERCOT committees and training</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Day/Pacheco</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LSE Conveyance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Enables retail sales to industrials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$2,500/mo</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Day/Pacheco</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REP Certification</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PUCT registration for retail sales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Day/Pacheco</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xml:space="preserve">Counterparty Master Trading Agreements </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Enables financial and physical trades between NETCO and counterparties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Tier 2 – 60 days</w:t>
            </w:r>
          </w:p>
          <w:p>
            <w:pPr>
              <w:pStyle w:val="Normal"/>
              <w:jc w:val="center"/>
              <w:rPr>
                <w:rFonts w:ascii="Arial" w:hAnsi="Arial" w:cs="Arial"/>
                <w:sz w:val="22"/>
              </w:rPr>
            </w:pPr>
            <w:r>
              <w:rPr>
                <w:rFonts w:cs="Arial" w:ascii="Arial" w:hAnsi="Arial"/>
                <w:sz w:val="22"/>
              </w:rPr>
              <w:t>Tier 3 – 90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 xml:space="preserve">collateral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See below</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Qualification for TCR Auction</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Enables physical and financial trading of transmission congestion rights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collateral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Day</w:t>
            </w:r>
          </w:p>
        </w:tc>
      </w:tr>
    </w:tbl>
    <w:p>
      <w:pPr>
        <w:pStyle w:val="Heading1"/>
        <w:ind w:hanging="0" w:start="0"/>
        <w:rPr>
          <w:rFonts w:ascii="Arial" w:hAnsi="Arial" w:cs="Arial"/>
          <w:b w:val="false"/>
          <w:bCs w:val="false"/>
        </w:rPr>
      </w:pPr>
      <w:r>
        <w:rPr>
          <w:rFonts w:cs="Arial" w:ascii="Arial" w:hAnsi="Arial"/>
          <w:b w:val="false"/>
          <w:bCs w:val="false"/>
        </w:rPr>
      </w:r>
    </w:p>
    <w:p>
      <w:pPr>
        <w:pStyle w:val="Caption"/>
        <w:rPr>
          <w:i w:val="false"/>
          <w:i w:val="false"/>
          <w:iCs w:val="false"/>
          <w:sz w:val="22"/>
        </w:rPr>
      </w:pPr>
      <w:r>
        <w:rPr>
          <w:i w:val="false"/>
          <w:iCs w:val="false"/>
          <w:sz w:val="22"/>
        </w:rPr>
        <w:tab/>
        <w:tab/>
      </w:r>
    </w:p>
    <w:p>
      <w:pPr>
        <w:pStyle w:val="Caption"/>
        <w:rPr>
          <w:sz w:val="22"/>
        </w:rPr>
      </w:pPr>
      <w:r>
        <w:rPr>
          <w:sz w:val="22"/>
        </w:rPr>
        <w:t>Tertiary  – Further Development of Business (Jun-Dec02)</w:t>
      </w:r>
    </w:p>
    <w:p>
      <w:pPr>
        <w:pStyle w:val="Normal"/>
        <w:rPr>
          <w:rFonts w:ascii="Arial" w:hAnsi="Arial" w:cs="Arial"/>
          <w:sz w:val="22"/>
        </w:rPr>
      </w:pPr>
      <w:r>
        <w:rPr>
          <w:rFonts w:cs="Arial" w:ascii="Arial" w:hAnsi="Arial"/>
          <w:sz w:val="22"/>
        </w:rPr>
      </w:r>
    </w:p>
    <w:tbl>
      <w:tblPr>
        <w:tblW w:w="10080" w:type="dxa"/>
        <w:jc w:val="start"/>
        <w:tblInd w:w="108" w:type="dxa"/>
        <w:tblLayout w:type="fixed"/>
        <w:tblCellMar>
          <w:top w:w="0" w:type="dxa"/>
          <w:start w:w="108" w:type="dxa"/>
          <w:bottom w:w="0" w:type="dxa"/>
          <w:end w:w="108" w:type="dxa"/>
        </w:tblCellMar>
      </w:tblPr>
      <w:tblGrid>
        <w:gridCol w:w="1800"/>
        <w:gridCol w:w="3240"/>
        <w:gridCol w:w="1980"/>
        <w:gridCol w:w="1260"/>
        <w:gridCol w:w="1800"/>
      </w:tblGrid>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Action Item</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Description</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Timeline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Cost</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Responsibility</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Qualification for Capacity Auctions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Master agreements in place with IOU Gencos to participate in State mandated auctions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 xml:space="preserve">collateral </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TBD</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HVDC Ties Agreements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Allows transmission into/out of ERCOT through exist DC Ties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TBD</w:t>
            </w:r>
          </w:p>
        </w:tc>
      </w:tr>
      <w:tr>
        <w:trPr/>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Renewable Energy Credit Application</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Registration as a REC trader in order to trade RECs and cover retail requirements</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30 days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$1,000</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TBD</w:t>
            </w:r>
          </w:p>
        </w:tc>
      </w:tr>
    </w:tbl>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rPr>
      </w:pPr>
      <w:r>
        <w:rPr>
          <w:rFonts w:cs="Arial" w:ascii="Arial" w:hAnsi="Arial"/>
        </w:rPr>
        <w:t>Master Trading Agreements</w:t>
      </w:r>
    </w:p>
    <w:p>
      <w:pPr>
        <w:pStyle w:val="Heading1"/>
        <w:ind w:hanging="0" w:start="0"/>
        <w:rPr>
          <w:rFonts w:ascii="Arial" w:hAnsi="Arial" w:cs="Arial"/>
          <w:b w:val="false"/>
          <w:bCs w:val="false"/>
        </w:rPr>
      </w:pPr>
      <w:r>
        <w:rPr>
          <w:rFonts w:cs="Arial" w:ascii="Arial" w:hAnsi="Arial"/>
          <w:b w:val="false"/>
          <w:bCs w:val="false"/>
        </w:rPr>
        <w:t>We intend to prioritize and get the following agreements executed with our trading partners:</w:t>
      </w:r>
    </w:p>
    <w:p>
      <w:pPr>
        <w:pStyle w:val="Normal"/>
        <w:rPr>
          <w:rFonts w:ascii="Arial" w:hAnsi="Arial" w:cs="Arial"/>
          <w:b/>
          <w:bCs/>
          <w:sz w:val="22"/>
        </w:rPr>
      </w:pPr>
      <w:r>
        <w:rPr>
          <w:rFonts w:cs="Arial" w:ascii="Arial" w:hAnsi="Arial"/>
          <w:b/>
          <w:bCs/>
          <w:sz w:val="22"/>
        </w:rPr>
      </w:r>
    </w:p>
    <w:p>
      <w:pPr>
        <w:pStyle w:val="Heading1"/>
        <w:numPr>
          <w:ilvl w:val="0"/>
          <w:numId w:val="2"/>
        </w:numPr>
        <w:rPr>
          <w:rFonts w:ascii="Arial" w:hAnsi="Arial" w:cs="Arial"/>
          <w:b w:val="false"/>
          <w:bCs w:val="false"/>
        </w:rPr>
      </w:pPr>
      <w:r>
        <w:rPr>
          <w:rFonts w:cs="Arial" w:ascii="Arial" w:hAnsi="Arial"/>
          <w:b w:val="false"/>
          <w:bCs w:val="false"/>
        </w:rPr>
        <w:t xml:space="preserve">Master Physical Trading Agreement (EEI) </w:t>
      </w:r>
    </w:p>
    <w:p>
      <w:pPr>
        <w:pStyle w:val="Heading1"/>
        <w:numPr>
          <w:ilvl w:val="0"/>
          <w:numId w:val="2"/>
        </w:numPr>
        <w:rPr>
          <w:rFonts w:ascii="Arial" w:hAnsi="Arial" w:cs="Arial"/>
          <w:b w:val="false"/>
          <w:bCs w:val="false"/>
        </w:rPr>
      </w:pPr>
      <w:r>
        <w:rPr>
          <w:rFonts w:cs="Arial" w:ascii="Arial" w:hAnsi="Arial"/>
          <w:b w:val="false"/>
          <w:bCs w:val="false"/>
        </w:rPr>
        <w:t>Master Financial Trading Agreement (ISDA)</w:t>
      </w:r>
    </w:p>
    <w:p>
      <w:pPr>
        <w:pStyle w:val="Heading1"/>
        <w:numPr>
          <w:ilvl w:val="0"/>
          <w:numId w:val="2"/>
        </w:numPr>
        <w:rPr>
          <w:rFonts w:ascii="Arial" w:hAnsi="Arial" w:cs="Arial"/>
          <w:b w:val="false"/>
          <w:bCs w:val="false"/>
        </w:rPr>
      </w:pPr>
      <w:r>
        <w:rPr>
          <w:rFonts w:cs="Arial" w:ascii="Arial" w:hAnsi="Arial"/>
          <w:b w:val="false"/>
          <w:bCs w:val="false"/>
        </w:rPr>
        <w:t>Master Netting Agreement</w:t>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rPr>
      </w:pPr>
      <w:r>
        <w:rPr>
          <w:rFonts w:cs="Arial" w:ascii="Arial" w:hAnsi="Arial"/>
          <w:b w:val="false"/>
          <w:bCs w:val="false"/>
        </w:rPr>
        <w:t>Due to ERCOT’s independence from FERC, we are legally able to trade physical power in ERCOT prior to obtaining a FERC power marketing license.</w:t>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rPr>
      </w:pPr>
      <w:r>
        <w:rPr>
          <w:rFonts w:cs="Arial" w:ascii="Arial" w:hAnsi="Arial"/>
        </w:rPr>
        <w:t>Counterparty Prioritization</w:t>
      </w:r>
    </w:p>
    <w:p>
      <w:pPr>
        <w:pStyle w:val="Heading1"/>
        <w:ind w:hanging="0" w:start="0"/>
        <w:rPr>
          <w:rFonts w:ascii="Arial" w:hAnsi="Arial" w:cs="Arial"/>
          <w:b w:val="false"/>
          <w:bCs w:val="false"/>
        </w:rPr>
      </w:pPr>
      <w:r>
        <w:rPr>
          <w:rFonts w:cs="Arial" w:ascii="Arial" w:hAnsi="Arial"/>
          <w:b w:val="false"/>
          <w:bCs w:val="false"/>
        </w:rPr>
        <w:t>We have taken our customer list and developed three Tiers from where we will prioritize getting master trading agreements in place.  For all Tier 1 counterparties we will setup meetings describing NETCO and revitalize our relationship.  Note that some of the accounts are national in scope and are being handled by the East power trading group as a whole as high priorities.</w:t>
      </w:r>
    </w:p>
    <w:p>
      <w:pPr>
        <w:pStyle w:val="Normal"/>
        <w:rPr>
          <w:rFonts w:ascii="Arial" w:hAnsi="Arial" w:cs="Arial"/>
          <w:b/>
          <w:bCs/>
          <w:sz w:val="22"/>
        </w:rPr>
      </w:pPr>
      <w:r>
        <w:rPr>
          <w:rFonts w:cs="Arial" w:ascii="Arial" w:hAnsi="Arial"/>
          <w:b/>
          <w:bCs/>
          <w:sz w:val="22"/>
        </w:rPr>
      </w:r>
    </w:p>
    <w:p>
      <w:pPr>
        <w:pStyle w:val="Heading4"/>
        <w:ind w:hanging="0" w:start="0"/>
        <w:rPr>
          <w:rFonts w:ascii="Arial" w:hAnsi="Arial" w:cs="Arial"/>
          <w:sz w:val="22"/>
        </w:rPr>
      </w:pPr>
      <w:r>
        <w:rPr>
          <w:rFonts w:cs="Arial" w:ascii="Arial" w:hAnsi="Arial"/>
          <w:sz w:val="22"/>
        </w:rPr>
        <w:t>Timeline</w:t>
      </w:r>
    </w:p>
    <w:p>
      <w:pPr>
        <w:pStyle w:val="Heading1"/>
        <w:ind w:hanging="0" w:start="0"/>
        <w:rPr>
          <w:rFonts w:ascii="Arial" w:hAnsi="Arial" w:cs="Arial"/>
          <w:b w:val="false"/>
          <w:bCs w:val="false"/>
        </w:rPr>
      </w:pPr>
      <w:r>
        <w:rPr>
          <w:rFonts w:cs="Arial" w:ascii="Arial" w:hAnsi="Arial"/>
          <w:b w:val="false"/>
          <w:bCs w:val="false"/>
        </w:rPr>
        <w:t>Tier 1 – 30 to 60 days</w:t>
      </w:r>
    </w:p>
    <w:p>
      <w:pPr>
        <w:pStyle w:val="Heading1"/>
        <w:ind w:hanging="0" w:start="0"/>
        <w:rPr>
          <w:rFonts w:ascii="Arial" w:hAnsi="Arial" w:cs="Arial"/>
          <w:b w:val="false"/>
          <w:bCs w:val="false"/>
        </w:rPr>
      </w:pPr>
      <w:r>
        <w:rPr>
          <w:rFonts w:cs="Arial" w:ascii="Arial" w:hAnsi="Arial"/>
          <w:b w:val="false"/>
          <w:bCs w:val="false"/>
        </w:rPr>
        <w:t>Tier 2 – 60 to 90 days</w:t>
      </w:r>
    </w:p>
    <w:p>
      <w:pPr>
        <w:pStyle w:val="Heading1"/>
        <w:ind w:hanging="0" w:start="0"/>
        <w:rPr>
          <w:rFonts w:ascii="Arial" w:hAnsi="Arial" w:cs="Arial"/>
          <w:b w:val="false"/>
          <w:bCs w:val="false"/>
        </w:rPr>
      </w:pPr>
      <w:r>
        <w:rPr>
          <w:rFonts w:cs="Arial" w:ascii="Arial" w:hAnsi="Arial"/>
          <w:b w:val="false"/>
          <w:bCs w:val="false"/>
        </w:rPr>
        <w:t>Tier 3 – 90 to120 days (active Tier 3 counterparties only)</w:t>
      </w:r>
    </w:p>
    <w:p>
      <w:pPr>
        <w:pStyle w:val="Normal"/>
        <w:rPr>
          <w:rFonts w:ascii="Arial" w:hAnsi="Arial" w:cs="Arial"/>
          <w:b/>
          <w:bCs/>
          <w:sz w:val="22"/>
        </w:rPr>
      </w:pPr>
      <w:r>
        <w:rPr>
          <w:rFonts w:cs="Arial" w:ascii="Arial" w:hAnsi="Arial"/>
          <w:b/>
          <w:bCs/>
          <w:sz w:val="22"/>
        </w:rPr>
      </w:r>
    </w:p>
    <w:tbl>
      <w:tblPr>
        <w:tblW w:w="9900" w:type="dxa"/>
        <w:jc w:val="start"/>
        <w:tblInd w:w="108" w:type="dxa"/>
        <w:tblLayout w:type="fixed"/>
        <w:tblCellMar>
          <w:top w:w="0" w:type="dxa"/>
          <w:start w:w="108" w:type="dxa"/>
          <w:bottom w:w="0" w:type="dxa"/>
          <w:end w:w="108" w:type="dxa"/>
        </w:tblCellMar>
      </w:tblPr>
      <w:tblGrid>
        <w:gridCol w:w="4500"/>
        <w:gridCol w:w="1080"/>
        <w:gridCol w:w="1800"/>
        <w:gridCol w:w="2520"/>
      </w:tblGrid>
      <w:tr>
        <w:trPr/>
        <w:tc>
          <w:tcPr>
            <w:tcW w:w="450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Counterparty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Tier</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Scope</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Responsibility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Aquila Risk Management Corporation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Duran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El Paso Merchant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Duran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AEP Energy Services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Reliant Energy Services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Dynegy Marketing &amp; Trade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Suarez</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Constellation Power Source</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Calger</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BP Energy Company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Mirant Americas Energy Marketing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Thomas</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Morgan Stanley Capital Group</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DGS</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Calpine Energy Services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Presto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Exelon Generation Company, LLC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Llodra</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TXU Energy Services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DGS</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FPL Energy Services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Presto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Dow</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American National Power, Inc.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DGS</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 xml:space="preserve">Frontera Generation </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Forney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Texas Independent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San Antonio Public Service Board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Coral Power, LLC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Duran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Entergy-Koch Trading L.P.</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Robinson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Tractebal Energy Marketing, Inc.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Duran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Entergy-Koch Trading L.P.</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Robinson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Tractebal Energy Marketing, Inc.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Duran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Cargill-Alliant, LLC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Valderrama</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PG&amp;E Energy Trading</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National</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cs="Arial" w:ascii="Arial" w:hAnsi="Arial"/>
                <w:sz w:val="22"/>
                <w:szCs w:val="20"/>
              </w:rPr>
              <w:t>Benson</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Air Liquide America Corp.</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2"/>
                <w:szCs w:val="20"/>
              </w:rPr>
            </w:pPr>
            <w:r>
              <w:rPr>
                <w:rFonts w:eastAsia="Arial Unicode MS" w:cs="Arial" w:ascii="Arial" w:hAnsi="Arial"/>
                <w:sz w:val="22"/>
                <w:szCs w:val="20"/>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Occidental Chemical Corp.</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Lower Colorado River Authority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Austin Energy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Forney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City of Bryan</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Brownsville Public Utilities Board</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Brazos Electric Power Coop, Inc.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South Texas Electric Coop, Inc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Forney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Exxon Company USA</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Tenaska, Inc.</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Curry</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2"/>
                <w:szCs w:val="20"/>
              </w:rPr>
            </w:pPr>
            <w:r>
              <w:rPr>
                <w:rFonts w:cs="Arial" w:ascii="Arial" w:hAnsi="Arial"/>
                <w:sz w:val="22"/>
                <w:szCs w:val="20"/>
              </w:rPr>
              <w:t>Texas Municipal Power Agency</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Pacheco</w:t>
            </w:r>
          </w:p>
        </w:tc>
      </w:tr>
      <w:tr>
        <w:trPr/>
        <w:tc>
          <w:tcPr>
            <w:tcW w:w="450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b/>
                <w:bCs/>
                <w:sz w:val="22"/>
                <w:szCs w:val="20"/>
              </w:rPr>
            </w:pPr>
            <w:r>
              <w:rPr>
                <w:rFonts w:eastAsia="Arial Unicode MS" w:cs="Arial" w:ascii="Arial" w:hAnsi="Arial"/>
                <w:b/>
                <w:bCs/>
                <w:sz w:val="22"/>
                <w:szCs w:val="20"/>
              </w:rPr>
              <w:t>136 Other Counterparties</w:t>
            </w:r>
          </w:p>
        </w:tc>
        <w:tc>
          <w:tcPr>
            <w:tcW w:w="10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3</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ERCOT</w:t>
            </w:r>
          </w:p>
        </w:tc>
        <w:tc>
          <w:tcPr>
            <w:tcW w:w="25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TBD</w:t>
            </w:r>
          </w:p>
        </w:tc>
      </w:tr>
    </w:tbl>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b w:val="false"/>
          <w:bCs w:val="false"/>
        </w:rPr>
      </w:pPr>
      <w:r>
        <w:rPr>
          <w:rFonts w:cs="Arial" w:ascii="Arial" w:hAnsi="Arial"/>
          <w:b w:val="false"/>
          <w:bCs w:val="false"/>
        </w:rPr>
      </w:r>
    </w:p>
    <w:p>
      <w:pPr>
        <w:pStyle w:val="Heading1"/>
        <w:ind w:hanging="0" w:start="0"/>
        <w:rPr>
          <w:rFonts w:ascii="Arial" w:hAnsi="Arial" w:cs="Arial"/>
        </w:rPr>
      </w:pPr>
      <w:r>
        <w:rPr>
          <w:rFonts w:cs="Arial" w:ascii="Arial" w:hAnsi="Arial"/>
        </w:rPr>
        <w:t>Market Summary</w:t>
      </w:r>
    </w:p>
    <w:p>
      <w:pPr>
        <w:pStyle w:val="Normal"/>
        <w:ind w:start="360" w:end="0"/>
        <w:rPr>
          <w:rFonts w:ascii="Arial" w:hAnsi="Arial" w:cs="Arial"/>
          <w:sz w:val="22"/>
          <w:u w:val="single"/>
        </w:rPr>
      </w:pPr>
      <w:r>
        <w:rPr>
          <w:rFonts w:cs="Arial" w:ascii="Arial" w:hAnsi="Arial"/>
          <w:sz w:val="22"/>
          <w:u w:val="single"/>
        </w:rPr>
        <w:t>Market Segmentation</w:t>
      </w:r>
    </w:p>
    <w:p>
      <w:pPr>
        <w:pStyle w:val="Normal"/>
        <w:numPr>
          <w:ilvl w:val="0"/>
          <w:numId w:val="7"/>
        </w:numPr>
        <w:rPr>
          <w:rFonts w:ascii="Arial" w:hAnsi="Arial" w:cs="Arial"/>
          <w:sz w:val="22"/>
        </w:rPr>
      </w:pPr>
      <w:r>
        <w:rPr>
          <w:rFonts w:cs="Arial" w:ascii="Arial" w:hAnsi="Arial"/>
          <w:sz w:val="22"/>
        </w:rPr>
        <w:t xml:space="preserve">Full deregulation has started January 1, 2002 and has exposed market to a new set of risks </w:t>
      </w:r>
    </w:p>
    <w:p>
      <w:pPr>
        <w:pStyle w:val="Normal"/>
        <w:numPr>
          <w:ilvl w:val="0"/>
          <w:numId w:val="7"/>
        </w:numPr>
        <w:rPr>
          <w:rFonts w:ascii="Arial" w:hAnsi="Arial" w:cs="Arial"/>
          <w:sz w:val="22"/>
        </w:rPr>
      </w:pPr>
      <w:r>
        <w:rPr>
          <w:rFonts w:cs="Arial" w:ascii="Arial" w:hAnsi="Arial"/>
          <w:sz w:val="22"/>
        </w:rPr>
        <w:t>Power supply produced now from IPPs, IOU Gencos, Municipalities, Load</w:t>
      </w:r>
    </w:p>
    <w:p>
      <w:pPr>
        <w:pStyle w:val="Normal"/>
        <w:numPr>
          <w:ilvl w:val="0"/>
          <w:numId w:val="7"/>
        </w:numPr>
        <w:rPr>
          <w:rFonts w:ascii="Arial" w:hAnsi="Arial" w:cs="Arial"/>
          <w:sz w:val="22"/>
        </w:rPr>
      </w:pPr>
      <w:r>
        <w:rPr>
          <w:rFonts w:cs="Arial" w:ascii="Arial" w:hAnsi="Arial"/>
          <w:sz w:val="22"/>
        </w:rPr>
        <w:t>Real time pricing is transparent and load is able to respond to pricing</w:t>
      </w:r>
    </w:p>
    <w:p>
      <w:pPr>
        <w:pStyle w:val="Normal"/>
        <w:numPr>
          <w:ilvl w:val="0"/>
          <w:numId w:val="7"/>
        </w:numPr>
        <w:rPr>
          <w:rFonts w:ascii="Arial" w:hAnsi="Arial" w:cs="Arial"/>
          <w:sz w:val="22"/>
        </w:rPr>
      </w:pPr>
      <w:r>
        <w:rPr>
          <w:rFonts w:cs="Arial" w:ascii="Arial" w:hAnsi="Arial"/>
          <w:sz w:val="22"/>
        </w:rPr>
        <w:t>Significant “Opt-Out” Sector of Municipalities/Co-operatives</w:t>
      </w:r>
    </w:p>
    <w:p>
      <w:pPr>
        <w:pStyle w:val="Normal"/>
        <w:ind w:start="720" w:end="0"/>
        <w:rPr>
          <w:rFonts w:ascii="Arial" w:hAnsi="Arial" w:cs="Arial"/>
          <w:sz w:val="22"/>
        </w:rPr>
      </w:pPr>
      <w:r>
        <w:rPr>
          <w:rFonts w:cs="Arial" w:ascii="Arial" w:hAnsi="Arial"/>
          <w:sz w:val="22"/>
        </w:rPr>
      </w:r>
    </w:p>
    <w:p>
      <w:pPr>
        <w:pStyle w:val="Heading3"/>
        <w:rPr/>
      </w:pPr>
      <w:r>
        <w:rPr/>
        <w:t>New ISO</w:t>
      </w:r>
    </w:p>
    <w:p>
      <w:pPr>
        <w:pStyle w:val="Normal"/>
        <w:numPr>
          <w:ilvl w:val="0"/>
          <w:numId w:val="4"/>
        </w:numPr>
        <w:rPr>
          <w:rFonts w:ascii="Arial" w:hAnsi="Arial" w:cs="Arial"/>
          <w:sz w:val="22"/>
        </w:rPr>
      </w:pPr>
      <w:r>
        <w:rPr>
          <w:rFonts w:cs="Arial" w:ascii="Arial" w:hAnsi="Arial"/>
          <w:sz w:val="22"/>
        </w:rPr>
        <w:t>Guaranteed physical delivery thus leaving price risk as the only variable</w:t>
      </w:r>
    </w:p>
    <w:p>
      <w:pPr>
        <w:pStyle w:val="Normal"/>
        <w:numPr>
          <w:ilvl w:val="0"/>
          <w:numId w:val="4"/>
        </w:numPr>
        <w:rPr>
          <w:rFonts w:ascii="Arial" w:hAnsi="Arial" w:cs="Arial"/>
          <w:sz w:val="22"/>
        </w:rPr>
      </w:pPr>
      <w:r>
        <w:rPr>
          <w:rFonts w:cs="Arial" w:ascii="Arial" w:hAnsi="Arial"/>
          <w:sz w:val="22"/>
        </w:rPr>
        <w:t>Low cost of entry</w:t>
      </w:r>
    </w:p>
    <w:p>
      <w:pPr>
        <w:pStyle w:val="Normal"/>
        <w:numPr>
          <w:ilvl w:val="1"/>
          <w:numId w:val="7"/>
        </w:numPr>
        <w:rPr>
          <w:rFonts w:ascii="Arial" w:hAnsi="Arial" w:cs="Arial"/>
          <w:sz w:val="22"/>
        </w:rPr>
      </w:pPr>
      <w:r>
        <w:rPr>
          <w:rFonts w:cs="Arial" w:ascii="Arial" w:hAnsi="Arial"/>
          <w:sz w:val="22"/>
        </w:rPr>
        <w:t>Diminished need for physical assets</w:t>
      </w:r>
    </w:p>
    <w:p>
      <w:pPr>
        <w:pStyle w:val="Normal"/>
        <w:numPr>
          <w:ilvl w:val="1"/>
          <w:numId w:val="7"/>
        </w:numPr>
        <w:rPr>
          <w:rFonts w:ascii="Arial" w:hAnsi="Arial" w:cs="Arial"/>
          <w:sz w:val="22"/>
        </w:rPr>
      </w:pPr>
      <w:r>
        <w:rPr>
          <w:rFonts w:cs="Arial" w:ascii="Arial" w:hAnsi="Arial"/>
          <w:sz w:val="22"/>
        </w:rPr>
        <w:t>Ability to shape schedules: unbalanced schedules likely by Q2 2002</w:t>
      </w:r>
    </w:p>
    <w:p>
      <w:pPr>
        <w:pStyle w:val="Normal"/>
        <w:numPr>
          <w:ilvl w:val="0"/>
          <w:numId w:val="4"/>
        </w:numPr>
        <w:rPr>
          <w:rFonts w:ascii="Arial" w:hAnsi="Arial" w:cs="Arial"/>
          <w:sz w:val="22"/>
        </w:rPr>
      </w:pPr>
      <w:r>
        <w:rPr>
          <w:rFonts w:cs="Arial" w:ascii="Arial" w:hAnsi="Arial"/>
          <w:sz w:val="22"/>
        </w:rPr>
        <w:t>New structured products to be developed to hedge new market risks</w:t>
      </w:r>
    </w:p>
    <w:p>
      <w:pPr>
        <w:pStyle w:val="Normal"/>
        <w:rPr>
          <w:rFonts w:ascii="Arial" w:hAnsi="Arial" w:cs="Arial"/>
          <w:sz w:val="22"/>
        </w:rPr>
      </w:pPr>
      <w:r>
        <w:rPr>
          <w:rFonts w:cs="Arial" w:ascii="Arial" w:hAnsi="Arial"/>
          <w:sz w:val="22"/>
        </w:rPr>
      </w:r>
    </w:p>
    <w:p>
      <w:pPr>
        <w:pStyle w:val="Heading3"/>
        <w:rPr/>
      </w:pPr>
      <w:r>
        <w:rPr/>
        <w:t>Market Supply/Demand</w:t>
      </w:r>
    </w:p>
    <w:p>
      <w:pPr>
        <w:pStyle w:val="Normal"/>
        <w:numPr>
          <w:ilvl w:val="0"/>
          <w:numId w:val="5"/>
        </w:numPr>
        <w:rPr>
          <w:rFonts w:ascii="Arial" w:hAnsi="Arial" w:cs="Arial"/>
          <w:sz w:val="22"/>
        </w:rPr>
      </w:pPr>
      <w:r>
        <w:rPr>
          <w:rFonts w:cs="Arial" w:ascii="Arial" w:hAnsi="Arial"/>
          <w:sz w:val="22"/>
        </w:rPr>
        <w:t>Economic growth in the late 1990s led to an unprecedented supply-side response</w:t>
      </w:r>
    </w:p>
    <w:p>
      <w:pPr>
        <w:pStyle w:val="Normal"/>
        <w:numPr>
          <w:ilvl w:val="0"/>
          <w:numId w:val="5"/>
        </w:numPr>
        <w:rPr>
          <w:rFonts w:ascii="Arial" w:hAnsi="Arial" w:cs="Arial"/>
          <w:sz w:val="22"/>
        </w:rPr>
      </w:pPr>
      <w:r>
        <w:rPr>
          <w:rFonts w:cs="Arial" w:ascii="Arial" w:hAnsi="Arial"/>
          <w:sz w:val="22"/>
        </w:rPr>
        <w:t xml:space="preserve">Large capacity margins and diverse asset ownership enable cost-effective supply </w:t>
      </w:r>
    </w:p>
    <w:p>
      <w:pPr>
        <w:pStyle w:val="Normal"/>
        <w:numPr>
          <w:ilvl w:val="0"/>
          <w:numId w:val="5"/>
        </w:numPr>
        <w:rPr>
          <w:rFonts w:ascii="Arial" w:hAnsi="Arial" w:cs="Arial"/>
          <w:sz w:val="22"/>
        </w:rPr>
      </w:pPr>
      <w:r>
        <w:rPr>
          <w:rFonts w:cs="Arial" w:ascii="Arial" w:hAnsi="Arial"/>
          <w:sz w:val="22"/>
        </w:rPr>
        <w:t xml:space="preserve">Diversified load </w:t>
      </w:r>
    </w:p>
    <w:p>
      <w:pPr>
        <w:pStyle w:val="Normal"/>
        <w:rPr>
          <w:rFonts w:ascii="Arial" w:hAnsi="Arial" w:cs="Arial"/>
          <w:sz w:val="22"/>
        </w:rPr>
      </w:pPr>
      <w:r>
        <w:rPr>
          <w:rFonts w:cs="Arial" w:ascii="Arial" w:hAnsi="Arial"/>
          <w:sz w:val="22"/>
        </w:rPr>
      </w:r>
    </w:p>
    <w:tbl>
      <w:tblPr>
        <w:tblW w:w="7182" w:type="dxa"/>
        <w:jc w:val="start"/>
        <w:tblInd w:w="1800" w:type="dxa"/>
        <w:tblLayout w:type="fixed"/>
        <w:tblCellMar>
          <w:top w:w="0" w:type="dxa"/>
          <w:start w:w="108" w:type="dxa"/>
          <w:bottom w:w="0" w:type="dxa"/>
          <w:end w:w="108" w:type="dxa"/>
        </w:tblCellMar>
      </w:tblPr>
      <w:tblGrid>
        <w:gridCol w:w="2628"/>
        <w:gridCol w:w="1494"/>
        <w:gridCol w:w="1620"/>
        <w:gridCol w:w="1440"/>
      </w:tblGrid>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bCs/>
                <w:sz w:val="22"/>
              </w:rPr>
            </w:pPr>
            <w:r>
              <w:rPr>
                <w:rFonts w:cs="Arial" w:ascii="Arial" w:hAnsi="Arial"/>
                <w:b/>
                <w:bCs/>
                <w:sz w:val="22"/>
              </w:rPr>
              <w:t>Load Characteristics</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Commercial</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Industrial</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sz w:val="22"/>
              </w:rPr>
            </w:pPr>
            <w:r>
              <w:rPr>
                <w:rFonts w:cs="Arial" w:ascii="Arial" w:hAnsi="Arial"/>
                <w:b/>
                <w:bCs/>
                <w:sz w:val="22"/>
              </w:rPr>
              <w:t>Residential</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 of Total Sales</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28 %</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32 %</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40 %</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Average Rate ($/MWh)</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$65</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$80</w:t>
            </w:r>
          </w:p>
        </w:tc>
      </w:tr>
      <w:tr>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2"/>
              </w:rPr>
            </w:pPr>
            <w:r>
              <w:rPr>
                <w:rFonts w:cs="Arial" w:ascii="Arial" w:hAnsi="Arial"/>
                <w:sz w:val="22"/>
              </w:rPr>
              <w:t>Annual Revenues ($ Bn)</w:t>
            </w:r>
          </w:p>
        </w:tc>
        <w:tc>
          <w:tcPr>
            <w:tcW w:w="1494"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5</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4</w:t>
            </w:r>
          </w:p>
        </w:tc>
        <w:tc>
          <w:tcPr>
            <w:tcW w:w="144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2"/>
              </w:rPr>
            </w:pPr>
            <w:r>
              <w:rPr>
                <w:rFonts w:cs="Arial" w:ascii="Arial" w:hAnsi="Arial"/>
                <w:sz w:val="22"/>
              </w:rPr>
              <w:t>8</w:t>
            </w:r>
          </w:p>
        </w:tc>
      </w:tr>
    </w:tbl>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Business Strategy</w:t>
      </w:r>
    </w:p>
    <w:p>
      <w:pPr>
        <w:pStyle w:val="Heading1"/>
        <w:ind w:hanging="0" w:start="0"/>
        <w:rPr/>
      </w:pPr>
      <w:r>
        <w:rPr/>
        <w:tab/>
      </w:r>
      <w:r>
        <w:rPr>
          <w:rFonts w:cs="Arial" w:ascii="Arial" w:hAnsi="Arial"/>
          <w:b w:val="false"/>
          <w:bCs w:val="false"/>
          <w:u w:val="single"/>
        </w:rPr>
        <w:t>Primary</w:t>
      </w:r>
      <w:r>
        <w:rPr>
          <w:rFonts w:cs="Arial" w:ascii="Arial" w:hAnsi="Arial"/>
        </w:rPr>
        <w:tab/>
      </w:r>
    </w:p>
    <w:p>
      <w:pPr>
        <w:pStyle w:val="Heading1"/>
        <w:numPr>
          <w:ilvl w:val="0"/>
          <w:numId w:val="2"/>
        </w:numPr>
        <w:rPr>
          <w:rFonts w:ascii="Arial" w:hAnsi="Arial" w:cs="Arial"/>
          <w:b w:val="false"/>
          <w:bCs w:val="false"/>
        </w:rPr>
      </w:pPr>
      <w:r>
        <w:rPr>
          <w:rFonts w:cs="Arial" w:ascii="Arial" w:hAnsi="Arial"/>
          <w:b w:val="false"/>
          <w:bCs w:val="false"/>
        </w:rPr>
        <w:t>Trade around market information and fundamentals</w:t>
      </w:r>
    </w:p>
    <w:p>
      <w:pPr>
        <w:pStyle w:val="Normal"/>
        <w:numPr>
          <w:ilvl w:val="0"/>
          <w:numId w:val="3"/>
        </w:numPr>
        <w:rPr>
          <w:rFonts w:ascii="Arial" w:hAnsi="Arial" w:cs="Arial"/>
          <w:sz w:val="22"/>
        </w:rPr>
      </w:pPr>
      <w:r>
        <w:rPr>
          <w:rFonts w:cs="Arial" w:ascii="Arial" w:hAnsi="Arial"/>
          <w:sz w:val="22"/>
        </w:rPr>
        <w:t>Provide risk management / structured products to Tier 1 and 2 wholesale customers</w:t>
      </w:r>
    </w:p>
    <w:p>
      <w:pPr>
        <w:pStyle w:val="Normal"/>
        <w:numPr>
          <w:ilvl w:val="1"/>
          <w:numId w:val="3"/>
        </w:numPr>
        <w:rPr>
          <w:rFonts w:ascii="Arial" w:hAnsi="Arial" w:cs="Arial"/>
          <w:sz w:val="22"/>
        </w:rPr>
      </w:pPr>
      <w:r>
        <w:rPr>
          <w:rFonts w:cs="Arial" w:ascii="Arial" w:hAnsi="Arial"/>
          <w:sz w:val="22"/>
        </w:rPr>
        <w:t>Load serving entities</w:t>
      </w:r>
    </w:p>
    <w:p>
      <w:pPr>
        <w:pStyle w:val="Normal"/>
        <w:numPr>
          <w:ilvl w:val="1"/>
          <w:numId w:val="3"/>
        </w:numPr>
        <w:rPr>
          <w:rFonts w:ascii="Arial" w:hAnsi="Arial" w:cs="Arial"/>
          <w:sz w:val="22"/>
        </w:rPr>
      </w:pPr>
      <w:r>
        <w:rPr>
          <w:rFonts w:cs="Arial" w:ascii="Arial" w:hAnsi="Arial"/>
          <w:sz w:val="22"/>
        </w:rPr>
        <w:t>IPPs</w:t>
        <w:tab/>
      </w:r>
    </w:p>
    <w:p>
      <w:pPr>
        <w:pStyle w:val="Normal"/>
        <w:numPr>
          <w:ilvl w:val="1"/>
          <w:numId w:val="3"/>
        </w:numPr>
        <w:rPr>
          <w:rFonts w:ascii="Arial" w:hAnsi="Arial" w:cs="Arial"/>
          <w:sz w:val="22"/>
        </w:rPr>
      </w:pPr>
      <w:r>
        <w:rPr>
          <w:rFonts w:cs="Arial" w:ascii="Arial" w:hAnsi="Arial"/>
          <w:sz w:val="22"/>
        </w:rPr>
        <w:t xml:space="preserve">Large Industrials  </w:t>
      </w:r>
    </w:p>
    <w:p>
      <w:pPr>
        <w:pStyle w:val="Normal"/>
        <w:numPr>
          <w:ilvl w:val="0"/>
          <w:numId w:val="3"/>
        </w:numPr>
        <w:rPr>
          <w:rFonts w:ascii="Arial" w:hAnsi="Arial" w:cs="Arial"/>
          <w:sz w:val="22"/>
        </w:rPr>
      </w:pPr>
      <w:r>
        <w:rPr>
          <w:rFonts w:cs="Arial" w:ascii="Arial" w:hAnsi="Arial"/>
          <w:sz w:val="22"/>
        </w:rPr>
        <w:t>Asset management deals</w:t>
      </w:r>
    </w:p>
    <w:p>
      <w:pPr>
        <w:pStyle w:val="Normal"/>
        <w:numPr>
          <w:ilvl w:val="0"/>
          <w:numId w:val="3"/>
        </w:numPr>
        <w:rPr>
          <w:rFonts w:ascii="Arial" w:hAnsi="Arial" w:cs="Arial"/>
          <w:sz w:val="22"/>
        </w:rPr>
      </w:pPr>
      <w:r>
        <w:rPr>
          <w:rFonts w:cs="Arial" w:ascii="Arial" w:hAnsi="Arial"/>
          <w:sz w:val="22"/>
        </w:rPr>
        <w:t>Focus on market trends and develop products/customer deals to capture value</w:t>
      </w:r>
    </w:p>
    <w:p>
      <w:pPr>
        <w:pStyle w:val="Normal"/>
        <w:ind w:start="720" w:end="0"/>
        <w:rPr>
          <w:rFonts w:ascii="Arial" w:hAnsi="Arial" w:cs="Arial"/>
          <w:b/>
          <w:bCs/>
          <w:sz w:val="22"/>
        </w:rPr>
      </w:pPr>
      <w:r>
        <w:rPr>
          <w:rFonts w:cs="Arial" w:ascii="Arial" w:hAnsi="Arial"/>
          <w:b/>
          <w:bCs/>
          <w:sz w:val="22"/>
        </w:rPr>
      </w:r>
    </w:p>
    <w:p>
      <w:pPr>
        <w:pStyle w:val="Heading2"/>
        <w:rPr/>
      </w:pPr>
      <w:r>
        <w:rPr/>
        <w:t>Secondary</w:t>
      </w:r>
    </w:p>
    <w:p>
      <w:pPr>
        <w:pStyle w:val="Normal"/>
        <w:numPr>
          <w:ilvl w:val="0"/>
          <w:numId w:val="6"/>
        </w:numPr>
        <w:rPr>
          <w:rFonts w:ascii="Arial" w:hAnsi="Arial" w:cs="Arial"/>
          <w:b/>
          <w:bCs/>
          <w:sz w:val="22"/>
        </w:rPr>
      </w:pPr>
      <w:r>
        <w:rPr>
          <w:rFonts w:cs="Arial" w:ascii="Arial" w:hAnsi="Arial"/>
          <w:sz w:val="22"/>
        </w:rPr>
        <w:t xml:space="preserve">Trade Transmission Congestion Rights products </w:t>
      </w:r>
    </w:p>
    <w:p>
      <w:pPr>
        <w:pStyle w:val="Normal"/>
        <w:numPr>
          <w:ilvl w:val="0"/>
          <w:numId w:val="6"/>
        </w:numPr>
        <w:rPr>
          <w:rFonts w:ascii="Arial" w:hAnsi="Arial" w:cs="Arial"/>
          <w:b/>
          <w:bCs/>
          <w:sz w:val="22"/>
        </w:rPr>
      </w:pPr>
      <w:r>
        <w:rPr>
          <w:rFonts w:cs="Arial" w:ascii="Arial" w:hAnsi="Arial"/>
          <w:sz w:val="22"/>
        </w:rPr>
        <w:t>Structure deals to help IPPs restructure debt</w:t>
      </w:r>
    </w:p>
    <w:p>
      <w:pPr>
        <w:pStyle w:val="Normal"/>
        <w:numPr>
          <w:ilvl w:val="0"/>
          <w:numId w:val="6"/>
        </w:numPr>
        <w:rPr>
          <w:rFonts w:ascii="Arial" w:hAnsi="Arial" w:cs="Arial"/>
          <w:b/>
          <w:bCs/>
          <w:sz w:val="22"/>
        </w:rPr>
      </w:pPr>
      <w:r>
        <w:rPr>
          <w:rFonts w:cs="Arial" w:ascii="Arial" w:hAnsi="Arial"/>
          <w:sz w:val="22"/>
        </w:rPr>
        <w:t>All requirements contracts with retail load and load serving entities</w:t>
      </w:r>
    </w:p>
    <w:p>
      <w:pPr>
        <w:pStyle w:val="Normal"/>
        <w:numPr>
          <w:ilvl w:val="0"/>
          <w:numId w:val="6"/>
        </w:numPr>
        <w:rPr>
          <w:rFonts w:ascii="Arial" w:hAnsi="Arial" w:cs="Arial"/>
          <w:b/>
          <w:bCs/>
          <w:sz w:val="22"/>
        </w:rPr>
      </w:pPr>
      <w:r>
        <w:rPr>
          <w:rFonts w:cs="Arial" w:ascii="Arial" w:hAnsi="Arial"/>
          <w:sz w:val="22"/>
        </w:rPr>
        <w:t>Texas/Mexico opportunity</w:t>
      </w:r>
    </w:p>
    <w:p>
      <w:pPr>
        <w:pStyle w:val="Normal"/>
        <w:rPr>
          <w:rFonts w:ascii="Arial" w:hAnsi="Arial" w:cs="Arial"/>
          <w:b/>
          <w:bCs/>
          <w:sz w:val="22"/>
          <w:u w:val="single"/>
        </w:rPr>
      </w:pPr>
      <w:r>
        <w:rPr>
          <w:rFonts w:cs="Arial" w:ascii="Arial" w:hAnsi="Arial"/>
          <w:b/>
          <w:bCs/>
          <w:sz w:val="22"/>
          <w:u w:val="single"/>
        </w:rPr>
      </w:r>
    </w:p>
    <w:p>
      <w:pPr>
        <w:pStyle w:val="Normal"/>
        <w:ind w:firstLine="720" w:end="0"/>
        <w:rPr>
          <w:rFonts w:ascii="Arial" w:hAnsi="Arial" w:cs="Arial"/>
          <w:sz w:val="22"/>
          <w:u w:val="single"/>
        </w:rPr>
      </w:pPr>
      <w:r>
        <w:rPr>
          <w:rFonts w:cs="Arial" w:ascii="Arial" w:hAnsi="Arial"/>
          <w:sz w:val="22"/>
          <w:u w:val="single"/>
        </w:rPr>
        <w:t>Product List</w:t>
      </w:r>
    </w:p>
    <w:p>
      <w:pPr>
        <w:pStyle w:val="BodyText"/>
        <w:rPr>
          <w:rFonts w:ascii="Arial" w:hAnsi="Arial" w:cs="Arial"/>
        </w:rPr>
      </w:pPr>
      <w:r>
        <w:rPr>
          <w:rFonts w:cs="Arial" w:ascii="Arial" w:hAnsi="Arial"/>
        </w:rPr>
        <w:t>Due to ERCOT’s independence from FERC, we are able to trade physical power in ERCOT prior to obtaining a FERC power marketing license.  Therefore, the product list should be similar to EPMI’s prior products list (seller’s choice physical) plus various zonal and hourly financial products to be added after restart is completed.</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Budget</w:t>
      </w:r>
    </w:p>
    <w:p>
      <w:pPr>
        <w:pStyle w:val="BodyText"/>
        <w:rPr>
          <w:rFonts w:ascii="Arial" w:hAnsi="Arial" w:cs="Arial"/>
        </w:rPr>
      </w:pPr>
      <w:r>
        <w:rPr>
          <w:rFonts w:cs="Arial" w:ascii="Arial" w:hAnsi="Arial"/>
        </w:rPr>
        <w:t>The ERCOT group’s budget would be similar to the East Power proforma adjusted for new ownership and business structure plus approximately $2 million in restart costs (see restart section above).  Costs for SG&amp;A and expenses per employee should remain stable.  Revenue projections would need to take new VAR and ownership factors in consideration.</w:t>
      </w:r>
    </w:p>
    <w:p>
      <w:pPr>
        <w:pStyle w:val="BodyText"/>
        <w:rPr>
          <w:rFonts w:ascii="Arial" w:hAnsi="Arial" w:cs="Arial"/>
        </w:rPr>
      </w:pPr>
      <w:r>
        <w:rPr>
          <w:rFonts w:cs="Arial" w:ascii="Arial" w:hAnsi="Arial"/>
        </w:rPr>
      </w:r>
    </w:p>
    <w:p>
      <w:pPr>
        <w:pStyle w:val="BodyText"/>
        <w:rPr>
          <w:rFonts w:ascii="Arial" w:hAnsi="Arial" w:cs="Arial"/>
        </w:rPr>
      </w:pPr>
      <w:r>
        <w:rPr>
          <w:rFonts w:cs="Arial" w:ascii="Arial" w:hAnsi="Arial"/>
        </w:rPr>
        <w:t>The following details the ERCOT marketing and trading business personnel:</w:t>
      </w:r>
    </w:p>
    <w:p>
      <w:pPr>
        <w:pStyle w:val="Normal"/>
        <w:rPr>
          <w:rFonts w:ascii="Arial" w:hAnsi="Arial" w:cs="Arial"/>
          <w:sz w:val="22"/>
        </w:rPr>
      </w:pPr>
      <w:r>
        <w:rPr>
          <w:rFonts w:cs="Arial" w:ascii="Arial" w:hAnsi="Arial"/>
          <w:sz w:val="22"/>
        </w:rPr>
      </w:r>
    </w:p>
    <w:p>
      <w:pPr>
        <w:pStyle w:val="Heading5"/>
        <w:rPr/>
      </w:pPr>
      <w:r>
        <w:rPr/>
        <w:t>Personnel</w:t>
      </w:r>
    </w:p>
    <w:p>
      <w:pPr>
        <w:pStyle w:val="Normal"/>
        <w:numPr>
          <w:ilvl w:val="0"/>
          <w:numId w:val="3"/>
        </w:numPr>
        <w:rPr>
          <w:rFonts w:ascii="Arial" w:hAnsi="Arial" w:cs="Arial"/>
          <w:sz w:val="22"/>
        </w:rPr>
      </w:pPr>
      <w:r>
        <w:rPr>
          <w:rFonts w:cs="Arial" w:ascii="Arial" w:hAnsi="Arial"/>
          <w:sz w:val="22"/>
        </w:rPr>
        <w:t>Trading</w:t>
      </w:r>
    </w:p>
    <w:p>
      <w:pPr>
        <w:pStyle w:val="Normal"/>
        <w:numPr>
          <w:ilvl w:val="1"/>
          <w:numId w:val="3"/>
        </w:numPr>
        <w:rPr>
          <w:rFonts w:ascii="Arial" w:hAnsi="Arial" w:cs="Arial"/>
          <w:sz w:val="22"/>
        </w:rPr>
      </w:pPr>
      <w:r>
        <w:rPr>
          <w:rFonts w:cs="Arial" w:ascii="Arial" w:hAnsi="Arial"/>
          <w:sz w:val="22"/>
        </w:rPr>
        <w:t>Doug Gilbert-Smith – Head of Trading</w:t>
      </w:r>
    </w:p>
    <w:p>
      <w:pPr>
        <w:pStyle w:val="Normal"/>
        <w:numPr>
          <w:ilvl w:val="2"/>
          <w:numId w:val="3"/>
        </w:numPr>
        <w:rPr>
          <w:rFonts w:ascii="Arial" w:hAnsi="Arial" w:cs="Arial"/>
          <w:sz w:val="22"/>
        </w:rPr>
      </w:pPr>
      <w:r>
        <w:rPr>
          <w:rFonts w:cs="Arial" w:ascii="Arial" w:hAnsi="Arial"/>
          <w:sz w:val="22"/>
        </w:rPr>
        <w:t>Jeff King – Term Trader</w:t>
      </w:r>
    </w:p>
    <w:p>
      <w:pPr>
        <w:pStyle w:val="Normal"/>
        <w:numPr>
          <w:ilvl w:val="2"/>
          <w:numId w:val="3"/>
        </w:numPr>
        <w:rPr>
          <w:rFonts w:ascii="Arial" w:hAnsi="Arial" w:cs="Arial"/>
          <w:sz w:val="22"/>
        </w:rPr>
      </w:pPr>
      <w:r>
        <w:rPr>
          <w:rFonts w:cs="Arial" w:ascii="Arial" w:hAnsi="Arial"/>
          <w:sz w:val="22"/>
        </w:rPr>
        <w:t>Paul Schiavone – Cash Trader</w:t>
      </w:r>
    </w:p>
    <w:p>
      <w:pPr>
        <w:pStyle w:val="Normal"/>
        <w:numPr>
          <w:ilvl w:val="2"/>
          <w:numId w:val="3"/>
        </w:numPr>
        <w:rPr>
          <w:rFonts w:ascii="Arial" w:hAnsi="Arial" w:cs="Arial"/>
          <w:sz w:val="22"/>
        </w:rPr>
      </w:pPr>
      <w:r>
        <w:rPr>
          <w:rFonts w:cs="Arial" w:ascii="Arial" w:hAnsi="Arial"/>
          <w:sz w:val="22"/>
        </w:rPr>
        <w:t>Eric Saibi – Off-Peak Trader</w:t>
      </w:r>
    </w:p>
    <w:p>
      <w:pPr>
        <w:pStyle w:val="Normal"/>
        <w:numPr>
          <w:ilvl w:val="2"/>
          <w:numId w:val="3"/>
        </w:numPr>
        <w:rPr>
          <w:rFonts w:ascii="Arial" w:hAnsi="Arial" w:cs="Arial"/>
          <w:sz w:val="22"/>
        </w:rPr>
      </w:pPr>
      <w:r>
        <w:rPr>
          <w:rFonts w:cs="Arial" w:ascii="Arial" w:hAnsi="Arial"/>
          <w:sz w:val="22"/>
        </w:rPr>
        <w:t>John Forney – Hourly Trader</w:t>
      </w:r>
    </w:p>
    <w:p>
      <w:pPr>
        <w:pStyle w:val="Normal"/>
        <w:numPr>
          <w:ilvl w:val="2"/>
          <w:numId w:val="3"/>
        </w:numPr>
        <w:rPr>
          <w:rFonts w:ascii="Arial" w:hAnsi="Arial" w:cs="Arial"/>
          <w:sz w:val="22"/>
        </w:rPr>
      </w:pPr>
      <w:r>
        <w:rPr>
          <w:rFonts w:cs="Arial" w:ascii="Arial" w:hAnsi="Arial"/>
          <w:sz w:val="22"/>
        </w:rPr>
        <w:t>Ryan Williams – Analyst</w:t>
      </w:r>
    </w:p>
    <w:p>
      <w:pPr>
        <w:pStyle w:val="Normal"/>
        <w:numPr>
          <w:ilvl w:val="2"/>
          <w:numId w:val="3"/>
        </w:numPr>
        <w:rPr>
          <w:rFonts w:ascii="Arial" w:hAnsi="Arial" w:cs="Arial"/>
          <w:sz w:val="22"/>
        </w:rPr>
      </w:pPr>
      <w:r>
        <w:rPr>
          <w:rFonts w:cs="Arial" w:ascii="Arial" w:hAnsi="Arial"/>
          <w:sz w:val="22"/>
        </w:rPr>
        <w:t>Three hourly traders</w:t>
      </w:r>
    </w:p>
    <w:p>
      <w:pPr>
        <w:pStyle w:val="Normal"/>
        <w:numPr>
          <w:ilvl w:val="0"/>
          <w:numId w:val="3"/>
        </w:numPr>
        <w:rPr>
          <w:rFonts w:ascii="Arial" w:hAnsi="Arial" w:cs="Arial"/>
          <w:sz w:val="22"/>
        </w:rPr>
      </w:pPr>
      <w:r>
        <w:rPr>
          <w:rFonts w:cs="Arial" w:ascii="Arial" w:hAnsi="Arial"/>
          <w:sz w:val="22"/>
        </w:rPr>
        <w:t>Marketing</w:t>
      </w:r>
    </w:p>
    <w:p>
      <w:pPr>
        <w:pStyle w:val="Normal"/>
        <w:numPr>
          <w:ilvl w:val="1"/>
          <w:numId w:val="3"/>
        </w:numPr>
        <w:rPr>
          <w:rFonts w:ascii="Arial" w:hAnsi="Arial" w:cs="Arial"/>
          <w:sz w:val="22"/>
        </w:rPr>
      </w:pPr>
      <w:r>
        <w:rPr>
          <w:rFonts w:cs="Arial" w:ascii="Arial" w:hAnsi="Arial"/>
          <w:sz w:val="22"/>
        </w:rPr>
        <w:t xml:space="preserve">Mike Curry – Head of Origination &amp; Midmarketing </w:t>
      </w:r>
    </w:p>
    <w:p>
      <w:pPr>
        <w:pStyle w:val="Normal"/>
        <w:numPr>
          <w:ilvl w:val="2"/>
          <w:numId w:val="3"/>
        </w:numPr>
        <w:rPr>
          <w:rFonts w:ascii="Arial" w:hAnsi="Arial" w:cs="Arial"/>
          <w:sz w:val="22"/>
        </w:rPr>
      </w:pPr>
      <w:r>
        <w:rPr>
          <w:rFonts w:cs="Arial" w:ascii="Arial" w:hAnsi="Arial"/>
          <w:sz w:val="22"/>
        </w:rPr>
        <w:t>Leonardo Pacheco - Origination &amp; Midmarketing</w:t>
      </w:r>
    </w:p>
    <w:p>
      <w:pPr>
        <w:pStyle w:val="Normal"/>
        <w:numPr>
          <w:ilvl w:val="2"/>
          <w:numId w:val="3"/>
        </w:numPr>
        <w:rPr>
          <w:rFonts w:ascii="Arial" w:hAnsi="Arial" w:cs="Arial"/>
          <w:sz w:val="22"/>
        </w:rPr>
      </w:pPr>
      <w:r>
        <w:rPr>
          <w:rFonts w:cs="Arial" w:ascii="Arial" w:hAnsi="Arial"/>
          <w:sz w:val="22"/>
        </w:rPr>
        <w:t>Edith Cross - Origination &amp; Midmarketing</w:t>
      </w:r>
    </w:p>
    <w:sectPr>
      <w:type w:val="nextPage"/>
      <w:pgSz w:w="12240" w:h="15840"/>
      <w:pgMar w:left="1260" w:right="720" w:gutter="0" w:header="0" w:top="90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Wingdings" w:hAnsi="Wingdings" w:cs="Wingdings" w:hint="default"/>
      </w:rPr>
    </w:lvl>
    <w:lvl w:ilvl="1">
      <w:start w:val="1"/>
      <w:numFmt w:val="bullet"/>
      <w:lvlText w:val="o"/>
      <w:lvlJc w:val="start"/>
      <w:pPr>
        <w:tabs>
          <w:tab w:val="num" w:pos="2160"/>
        </w:tabs>
        <w:ind w:start="2160" w:hanging="360"/>
      </w:pPr>
      <w:rPr>
        <w:rFonts w:ascii="Courier New" w:hAnsi="Courier New" w:cs="Courier New" w:hint="default"/>
      </w:rPr>
    </w:lvl>
    <w:lvl w:ilvl="2">
      <w:start w:val="60"/>
      <w:numFmt w:val="bullet"/>
      <w:lvlText w:val="-"/>
      <w:lvlJc w:val="start"/>
      <w:pPr>
        <w:tabs>
          <w:tab w:val="num" w:pos="2880"/>
        </w:tabs>
        <w:ind w:start="2880" w:hanging="360"/>
      </w:pPr>
      <w:rPr>
        <w:rFonts w:ascii="Times New Roman" w:hAnsi="Times New Roman" w:cs="Times New Roman"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4">
    <w:lvl w:ilvl="0">
      <w:start w:val="1"/>
      <w:numFmt w:val="lowerLetter"/>
      <w:lvlText w:val="%1."/>
      <w:lvlJc w:val="start"/>
      <w:pPr>
        <w:tabs>
          <w:tab w:val="num" w:pos="1080"/>
        </w:tabs>
        <w:ind w:start="1080" w:hanging="360"/>
      </w:pPr>
    </w:lvl>
  </w:abstractNum>
  <w:abstractNum w:abstractNumId="5">
    <w:lvl w:ilvl="0">
      <w:start w:val="1"/>
      <w:numFmt w:val="lowerLetter"/>
      <w:lvlText w:val="%1."/>
      <w:lvlJc w:val="start"/>
      <w:pPr>
        <w:tabs>
          <w:tab w:val="num" w:pos="1080"/>
        </w:tabs>
        <w:ind w:start="1080" w:hanging="360"/>
      </w:pPr>
    </w:lvl>
  </w:abstractNum>
  <w:abstractNum w:abstractNumId="6">
    <w:lvl w:ilvl="0">
      <w:start w:val="1"/>
      <w:numFmt w:val="bullet"/>
      <w:lvlText w:val=""/>
      <w:lvlJc w:val="start"/>
      <w:pPr>
        <w:tabs>
          <w:tab w:val="num" w:pos="1440"/>
        </w:tabs>
        <w:ind w:start="1440" w:hanging="360"/>
      </w:pPr>
      <w:rPr>
        <w:rFonts w:ascii="Wingdings" w:hAnsi="Wingdings" w:cs="Wingdings" w:hint="default"/>
      </w:rPr>
    </w:lvl>
  </w:abstractNum>
  <w:abstractNum w:abstractNumId="7">
    <w:lvl w:ilvl="0">
      <w:start w:val="1"/>
      <w:numFmt w:val="lowerLetter"/>
      <w:lvlText w:val="%1."/>
      <w:lvlJc w:val="start"/>
      <w:pPr>
        <w:tabs>
          <w:tab w:val="num" w:pos="1080"/>
        </w:tabs>
        <w:ind w:start="1080" w:hanging="360"/>
      </w:pPr>
    </w:lvl>
    <w:lvl w:ilvl="1">
      <w:start w:val="1"/>
      <w:numFmt w:val="decimal"/>
      <w:lvlText w:val="%2)"/>
      <w:lvlJc w:val="start"/>
      <w:pPr>
        <w:tabs>
          <w:tab w:val="num" w:pos="1800"/>
        </w:tabs>
        <w:ind w:start="1800" w:hanging="360"/>
      </w:pPr>
    </w:lvl>
    <w:lvl w:ilvl="2">
      <w:start w:val="1"/>
      <w:numFmt w:val="bullet"/>
      <w:lvlText w:val=""/>
      <w:lvlJc w:val="start"/>
      <w:pPr>
        <w:tabs>
          <w:tab w:val="num" w:pos="2700"/>
        </w:tabs>
        <w:ind w:start="2700" w:hanging="360"/>
      </w:pPr>
      <w:rPr>
        <w:rFonts w:ascii="Wingdings" w:hAnsi="Wingdings" w:cs="Wingdings" w:hint="default"/>
      </w:r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22"/>
    </w:rPr>
  </w:style>
  <w:style w:type="paragraph" w:styleId="Heading2">
    <w:name w:val="heading 2"/>
    <w:basedOn w:val="Normal"/>
    <w:next w:val="Normal"/>
    <w:qFormat/>
    <w:pPr>
      <w:keepNext w:val="true"/>
      <w:numPr>
        <w:ilvl w:val="1"/>
        <w:numId w:val="1"/>
      </w:numPr>
      <w:ind w:firstLine="720" w:start="0" w:end="0"/>
      <w:outlineLvl w:val="1"/>
    </w:pPr>
    <w:rPr>
      <w:rFonts w:ascii="Arial" w:hAnsi="Arial" w:cs="Arial"/>
      <w:sz w:val="22"/>
      <w:u w:val="single"/>
    </w:rPr>
  </w:style>
  <w:style w:type="paragraph" w:styleId="Heading3">
    <w:name w:val="heading 3"/>
    <w:basedOn w:val="Normal"/>
    <w:next w:val="Normal"/>
    <w:qFormat/>
    <w:pPr>
      <w:keepNext w:val="true"/>
      <w:numPr>
        <w:ilvl w:val="2"/>
        <w:numId w:val="1"/>
      </w:numPr>
      <w:ind w:hanging="0" w:start="360" w:end="0"/>
      <w:outlineLvl w:val="2"/>
    </w:pPr>
    <w:rPr>
      <w:rFonts w:ascii="Arial" w:hAnsi="Arial" w:cs="Arial"/>
      <w:sz w:val="22"/>
      <w:u w:val="single"/>
    </w:rPr>
  </w:style>
  <w:style w:type="paragraph" w:styleId="Heading4">
    <w:name w:val="heading 4"/>
    <w:basedOn w:val="Normal"/>
    <w:next w:val="Normal"/>
    <w:qFormat/>
    <w:pPr>
      <w:keepNext w:val="true"/>
      <w:numPr>
        <w:ilvl w:val="3"/>
        <w:numId w:val="1"/>
      </w:numPr>
      <w:outlineLvl w:val="3"/>
    </w:pPr>
    <w:rPr>
      <w:u w:val="single"/>
    </w:rPr>
  </w:style>
  <w:style w:type="paragraph" w:styleId="Heading5">
    <w:name w:val="heading 5"/>
    <w:basedOn w:val="Normal"/>
    <w:next w:val="Normal"/>
    <w:qFormat/>
    <w:pPr>
      <w:keepNext w:val="true"/>
      <w:numPr>
        <w:ilvl w:val="4"/>
        <w:numId w:val="1"/>
      </w:numPr>
      <w:ind w:hanging="0" w:start="720" w:end="0"/>
      <w:outlineLvl w:val="4"/>
    </w:pPr>
    <w:rPr>
      <w:rFonts w:ascii="Arial" w:hAnsi="Arial" w:cs="Arial"/>
      <w:sz w:val="22"/>
      <w:u w:val="single"/>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Times New Roman" w:hAnsi="Times New Roman" w:eastAsia="Times New Roman" w:cs="Times New Roman"/>
    </w:rPr>
  </w:style>
  <w:style w:type="character" w:styleId="WW8Num3z3">
    <w:name w:val="WW8Num3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2">
    <w:name w:val="WW8Num9z2"/>
    <w:qFormat/>
    <w:rPr>
      <w:rFonts w:ascii="Wingdings" w:hAnsi="Wingdings" w:cs="Wingdings"/>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bCs/>
      <w:u w:val="single"/>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next w:val="Normal"/>
    <w:qFormat/>
    <w:pPr/>
    <w:rPr>
      <w:rFonts w:ascii="Arial" w:hAnsi="Arial" w:cs="Arial"/>
      <w:i/>
      <w:iCs/>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2002-01-03T12:46:00Z</dcterms:created>
  <dc:creator>Doug and Killian Gilbert-Smith</dc:creator>
  <dc:description/>
  <dc:language>en-CA</dc:language>
  <cp:lastModifiedBy>Mike Curry</cp:lastModifiedBy>
  <cp:lastPrinted>2002-01-03T15:52:00Z</cp:lastPrinted>
  <dcterms:modified xsi:type="dcterms:W3CDTF">2002-01-03T20:23:00Z</dcterms:modified>
  <cp:revision>6</cp:revision>
  <dc:subject/>
  <dc:title>Wholesale Power Trading and Marketing</dc:title>
</cp:coreProperties>
</file>