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Zurich BT;Tahoma" w:hAnsi="Zurich BT;Tahoma" w:cs="Zurich BT;Tahoma"/>
          <w:spacing w:val="20"/>
          <w:sz w:val="32"/>
        </w:rPr>
      </w:pPr>
      <w:r>
        <w:rPr>
          <w:rFonts w:cs="Zurich BT;Tahoma" w:ascii="Zurich BT;Tahoma" w:hAnsi="Zurich BT;Tahoma"/>
          <w:spacing w:val="20"/>
          <w:sz w:val="32"/>
        </w:rPr>
        <w:drawing>
          <wp:inline distT="0" distB="0" distL="0" distR="0">
            <wp:extent cx="2987675" cy="1384300"/>
            <wp:effectExtent l="0" t="0" r="0" b="0"/>
            <wp:docPr id="1" name="EPSAR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SARlogo" descr="" title=""/>
                    <pic:cNvPicPr>
                      <a:picLocks noChangeAspect="1" noChangeArrowheads="1"/>
                    </pic:cNvPicPr>
                  </pic:nvPicPr>
                  <pic:blipFill>
                    <a:blip r:embed="rId2"/>
                    <a:srcRect l="-12" t="-26" r="-12" b="-26"/>
                    <a:stretch>
                      <a:fillRect/>
                    </a:stretch>
                  </pic:blipFill>
                  <pic:spPr bwMode="auto">
                    <a:xfrm>
                      <a:off x="0" y="0"/>
                      <a:ext cx="2987675" cy="1384300"/>
                    </a:xfrm>
                    <a:prstGeom prst="rect">
                      <a:avLst/>
                    </a:prstGeom>
                    <a:noFill/>
                  </pic:spPr>
                </pic:pic>
              </a:graphicData>
            </a:graphic>
          </wp:inline>
        </w:drawing>
      </w:r>
    </w:p>
    <w:p>
      <w:pPr>
        <w:pStyle w:val="Normal"/>
        <w:ind w:firstLine="720" w:start="6480" w:end="0"/>
        <w:rPr>
          <w:rFonts w:ascii="Zurich BT;Tahoma" w:hAnsi="Zurich BT;Tahoma" w:cs="Zurich BT;Tahoma"/>
          <w:spacing w:val="-8"/>
          <w:sz w:val="16"/>
        </w:rPr>
      </w:pPr>
      <w:r>
        <w:rPr>
          <w:rFonts w:cs="Zurich BT;Tahoma" w:ascii="Zurich BT;Tahoma" w:hAnsi="Zurich BT;Tahoma"/>
          <w:spacing w:val="-8"/>
          <w:sz w:val="16"/>
        </w:rPr>
        <w:t>1401 New York Avenue, NW</w:t>
      </w:r>
    </w:p>
    <w:p>
      <w:pPr>
        <w:pStyle w:val="Normal"/>
        <w:rPr/>
      </w:pPr>
      <w:r>
        <w:rPr>
          <w:rFonts w:cs="Zurich BT;Tahoma" w:ascii="Zurich BT;Tahoma" w:hAnsi="Zurich BT;Tahoma"/>
          <w:spacing w:val="-8"/>
          <w:sz w:val="16"/>
        </w:rPr>
        <w:tab/>
        <w:tab/>
        <w:tab/>
        <w:tab/>
        <w:tab/>
        <w:tab/>
        <w:tab/>
        <w:tab/>
        <w:tab/>
        <w:tab/>
        <w:t>11</w:t>
      </w:r>
      <w:r>
        <w:rPr>
          <w:rFonts w:cs="Zurich BT;Tahoma" w:ascii="Zurich BT;Tahoma" w:hAnsi="Zurich BT;Tahoma"/>
          <w:spacing w:val="-8"/>
          <w:sz w:val="16"/>
          <w:vertAlign w:val="superscript"/>
        </w:rPr>
        <w:t>th</w:t>
      </w:r>
      <w:r>
        <w:rPr>
          <w:rFonts w:cs="Zurich BT;Tahoma" w:ascii="Zurich BT;Tahoma" w:hAnsi="Zurich BT;Tahoma"/>
          <w:spacing w:val="-8"/>
          <w:sz w:val="16"/>
        </w:rPr>
        <w:t xml:space="preserve"> Floor</w:t>
      </w:r>
    </w:p>
    <w:p>
      <w:pPr>
        <w:pStyle w:val="Normal"/>
        <w:rPr>
          <w:rFonts w:ascii="Zurich BT;Tahoma" w:hAnsi="Zurich BT;Tahoma" w:cs="Zurich BT;Tahoma"/>
          <w:spacing w:val="-8"/>
          <w:sz w:val="16"/>
        </w:rPr>
      </w:pPr>
      <w:r>
        <w:rPr>
          <w:rFonts w:cs="Zurich BT;Tahoma" w:ascii="Zurich BT;Tahoma" w:hAnsi="Zurich BT;Tahoma"/>
          <w:spacing w:val="-8"/>
          <w:sz w:val="16"/>
        </w:rPr>
        <w:tab/>
        <w:tab/>
        <w:tab/>
        <w:tab/>
        <w:tab/>
        <w:tab/>
        <w:tab/>
        <w:tab/>
        <w:tab/>
        <w:tab/>
        <w:t>Washington, DC 20005</w:t>
      </w:r>
    </w:p>
    <w:p>
      <w:pPr>
        <w:pStyle w:val="Normal"/>
        <w:rPr>
          <w:rFonts w:ascii="Zurich BT;Tahoma" w:hAnsi="Zurich BT;Tahoma" w:cs="Zurich BT;Tahoma"/>
          <w:spacing w:val="-8"/>
          <w:sz w:val="16"/>
        </w:rPr>
      </w:pPr>
      <w:r>
        <w:rPr>
          <w:rFonts w:cs="Zurich BT;Tahoma" w:ascii="Zurich BT;Tahoma" w:hAnsi="Zurich BT;Tahoma"/>
          <w:spacing w:val="-8"/>
          <w:sz w:val="16"/>
        </w:rPr>
        <w:tab/>
        <w:tab/>
        <w:tab/>
        <w:tab/>
        <w:tab/>
        <w:tab/>
        <w:tab/>
        <w:tab/>
        <w:tab/>
        <w:tab/>
        <w:t>202/628-8200</w:t>
      </w:r>
    </w:p>
    <w:p>
      <w:pPr>
        <w:pStyle w:val="Normal"/>
        <w:rPr>
          <w:rFonts w:ascii="Zurich BT;Tahoma" w:hAnsi="Zurich BT;Tahoma" w:cs="Zurich BT;Tahoma"/>
          <w:spacing w:val="-8"/>
          <w:sz w:val="16"/>
        </w:rPr>
      </w:pPr>
      <w:r>
        <w:rPr>
          <w:rFonts w:cs="Zurich BT;Tahoma" w:ascii="Zurich BT;Tahoma" w:hAnsi="Zurich BT;Tahoma"/>
          <w:spacing w:val="-8"/>
          <w:sz w:val="16"/>
        </w:rPr>
        <w:tab/>
        <w:tab/>
        <w:tab/>
        <w:tab/>
        <w:tab/>
        <w:tab/>
        <w:tab/>
        <w:tab/>
        <w:tab/>
        <w:tab/>
        <w:t>202/628-8260  fax</w:t>
      </w:r>
    </w:p>
    <w:p>
      <w:pPr>
        <w:pStyle w:val="Normal"/>
        <w:rPr/>
      </w:pPr>
      <w:r>
        <w:rPr>
          <w:rFonts w:cs="Zurich BT;Tahoma" w:ascii="Zurich BT;Tahoma" w:hAnsi="Zurich BT;Tahoma"/>
          <w:spacing w:val="-14"/>
          <w:sz w:val="16"/>
        </w:rPr>
        <w:tab/>
        <w:tab/>
        <w:tab/>
        <w:tab/>
        <w:tab/>
        <w:tab/>
        <w:tab/>
        <w:tab/>
        <w:tab/>
        <w:tab/>
        <w:t>www.epsa.org</w:t>
      </w:r>
      <w:r>
        <w:rPr>
          <w:rFonts w:cs="Zurich BT;Tahoma" w:ascii="Zurich BT;Tahoma" w:hAnsi="Zurich BT;Tahoma"/>
          <w:caps/>
          <w:sz w:val="32"/>
        </w:rPr>
        <w:t xml:space="preserve"> </w:t>
        <w:br/>
      </w:r>
    </w:p>
    <w:p>
      <w:pPr>
        <w:pStyle w:val="Normal"/>
        <w:rPr>
          <w:rFonts w:ascii="Zurich BT;Tahoma" w:hAnsi="Zurich BT;Tahoma" w:cs="Zurich BT;Tahoma"/>
          <w:b/>
          <w:spacing w:val="20"/>
        </w:rPr>
      </w:pPr>
      <w:r>
        <w:rPr>
          <w:rFonts w:cs="Zurich BT;Tahoma" w:ascii="Zurich BT;Tahoma" w:hAnsi="Zurich BT;Tahoma"/>
          <w:b/>
          <w:caps/>
          <w:spacing w:val="20"/>
          <w:sz w:val="32"/>
        </w:rPr>
        <w:t>Memorandum</w:t>
      </w:r>
      <w:r>
        <w:rPr>
          <w:rFonts w:cs="Zurich BT;Tahoma" w:ascii="Zurich BT;Tahoma" w:hAnsi="Zurich BT;Tahoma"/>
          <w:b/>
          <w:spacing w:val="20"/>
          <w:sz w:val="32"/>
        </w:rPr>
        <w:br/>
      </w:r>
    </w:p>
    <w:tbl>
      <w:tblPr>
        <w:tblW w:w="8856" w:type="dxa"/>
        <w:jc w:val="start"/>
        <w:tblInd w:w="0" w:type="dxa"/>
        <w:tblLayout w:type="fixed"/>
        <w:tblCellMar>
          <w:top w:w="0" w:type="dxa"/>
          <w:start w:w="108" w:type="dxa"/>
          <w:bottom w:w="0" w:type="dxa"/>
          <w:end w:w="108" w:type="dxa"/>
        </w:tblCellMar>
      </w:tblPr>
      <w:tblGrid>
        <w:gridCol w:w="1278"/>
        <w:gridCol w:w="7578"/>
      </w:tblGrid>
      <w:tr>
        <w:trPr/>
        <w:tc>
          <w:tcPr>
            <w:tcW w:w="1278" w:type="dxa"/>
            <w:tcBorders/>
          </w:tcPr>
          <w:p>
            <w:pPr>
              <w:pStyle w:val="Normal"/>
              <w:spacing w:lineRule="auto" w:line="360"/>
              <w:rPr>
                <w:rFonts w:ascii="Zurich BT;Tahoma" w:hAnsi="Zurich BT;Tahoma" w:cs="Zurich BT;Tahoma"/>
                <w:b/>
                <w:smallCaps/>
              </w:rPr>
            </w:pPr>
            <w:r>
              <w:rPr>
                <w:rFonts w:cs="Zurich BT;Tahoma" w:ascii="Zurich BT;Tahoma" w:hAnsi="Zurich BT;Tahoma"/>
                <w:b/>
                <w:smallCaps/>
              </w:rPr>
              <w:t>TO:</w:t>
            </w:r>
          </w:p>
        </w:tc>
        <w:tc>
          <w:tcPr>
            <w:tcW w:w="7578" w:type="dxa"/>
            <w:tcBorders/>
          </w:tcPr>
          <w:p>
            <w:pPr>
              <w:pStyle w:val="Normal"/>
              <w:rPr/>
            </w:pPr>
            <w:r>
              <w:rPr/>
              <w:t>EPSA Members</w:t>
            </w:r>
          </w:p>
        </w:tc>
      </w:tr>
      <w:tr>
        <w:trPr/>
        <w:tc>
          <w:tcPr>
            <w:tcW w:w="1278" w:type="dxa"/>
            <w:tcBorders/>
          </w:tcPr>
          <w:p>
            <w:pPr>
              <w:pStyle w:val="Normal"/>
              <w:spacing w:lineRule="auto" w:line="360"/>
              <w:rPr>
                <w:rFonts w:ascii="Zurich BT;Tahoma" w:hAnsi="Zurich BT;Tahoma" w:cs="Zurich BT;Tahoma"/>
                <w:b/>
                <w:smallCaps/>
              </w:rPr>
            </w:pPr>
            <w:r>
              <w:rPr>
                <w:rFonts w:cs="Zurich BT;Tahoma" w:ascii="Zurich BT;Tahoma" w:hAnsi="Zurich BT;Tahoma"/>
                <w:b/>
                <w:smallCaps/>
              </w:rPr>
              <w:t>FROM:</w:t>
            </w:r>
          </w:p>
        </w:tc>
        <w:tc>
          <w:tcPr>
            <w:tcW w:w="7578" w:type="dxa"/>
            <w:tcBorders/>
          </w:tcPr>
          <w:p>
            <w:pPr>
              <w:pStyle w:val="Normal"/>
              <w:rPr/>
            </w:pPr>
            <w:r>
              <w:rPr/>
              <w:t>Lynne H. Church, President</w:t>
            </w:r>
          </w:p>
          <w:p>
            <w:pPr>
              <w:pStyle w:val="Normal"/>
              <w:rPr/>
            </w:pPr>
            <w:r>
              <w:rPr/>
            </w:r>
          </w:p>
        </w:tc>
      </w:tr>
      <w:tr>
        <w:trPr/>
        <w:tc>
          <w:tcPr>
            <w:tcW w:w="1278" w:type="dxa"/>
            <w:tcBorders/>
          </w:tcPr>
          <w:p>
            <w:pPr>
              <w:pStyle w:val="Normal"/>
              <w:spacing w:lineRule="auto" w:line="360"/>
              <w:rPr>
                <w:rFonts w:ascii="Zurich BT;Tahoma" w:hAnsi="Zurich BT;Tahoma" w:cs="Zurich BT;Tahoma"/>
                <w:b/>
                <w:smallCaps/>
              </w:rPr>
            </w:pPr>
            <w:r>
              <w:rPr>
                <w:rFonts w:cs="Zurich BT;Tahoma" w:ascii="Zurich BT;Tahoma" w:hAnsi="Zurich BT;Tahoma"/>
                <w:b/>
                <w:smallCaps/>
              </w:rPr>
              <w:t>DATE:</w:t>
            </w:r>
          </w:p>
        </w:tc>
        <w:tc>
          <w:tcPr>
            <w:tcW w:w="7578" w:type="dxa"/>
            <w:tcBorders/>
          </w:tcPr>
          <w:p>
            <w:pPr>
              <w:pStyle w:val="Normal"/>
              <w:spacing w:lineRule="auto" w:line="360"/>
              <w:rPr/>
            </w:pPr>
            <w:r>
              <w:rPr/>
              <w:t>November 20, 2001</w:t>
            </w:r>
          </w:p>
        </w:tc>
      </w:tr>
      <w:tr>
        <w:trPr/>
        <w:tc>
          <w:tcPr>
            <w:tcW w:w="1278" w:type="dxa"/>
            <w:tcBorders>
              <w:bottom w:val="single" w:sz="6" w:space="0" w:color="000000"/>
            </w:tcBorders>
          </w:tcPr>
          <w:p>
            <w:pPr>
              <w:pStyle w:val="Normal"/>
              <w:spacing w:lineRule="auto" w:line="360"/>
              <w:rPr>
                <w:rFonts w:ascii="Zurich BT;Tahoma" w:hAnsi="Zurich BT;Tahoma" w:cs="Zurich BT;Tahoma"/>
                <w:b/>
                <w:smallCaps/>
              </w:rPr>
            </w:pPr>
            <w:r>
              <w:rPr>
                <w:rFonts w:cs="Zurich BT;Tahoma" w:ascii="Zurich BT;Tahoma" w:hAnsi="Zurich BT;Tahoma"/>
                <w:b/>
                <w:smallCaps/>
              </w:rPr>
              <w:t>RE:</w:t>
            </w:r>
          </w:p>
        </w:tc>
        <w:tc>
          <w:tcPr>
            <w:tcW w:w="7578" w:type="dxa"/>
            <w:tcBorders>
              <w:bottom w:val="single" w:sz="6" w:space="0" w:color="000000"/>
            </w:tcBorders>
          </w:tcPr>
          <w:p>
            <w:pPr>
              <w:pStyle w:val="Normal"/>
              <w:rPr>
                <w:b/>
                <w:i/>
                <w:i/>
              </w:rPr>
            </w:pPr>
            <w:r>
              <w:rPr>
                <w:b/>
                <w:i/>
              </w:rPr>
              <w:t>2002 Committee &amp; Working Group Chairs</w:t>
            </w:r>
          </w:p>
        </w:tc>
      </w:tr>
    </w:tbl>
    <w:p>
      <w:pPr>
        <w:pStyle w:val="Normal"/>
        <w:rPr>
          <w:rFonts w:ascii="Zurich BT;Tahoma" w:hAnsi="Zurich BT;Tahoma" w:cs="Zurich BT;Tahoma"/>
          <w:spacing w:val="-8"/>
          <w:sz w:val="18"/>
        </w:rPr>
      </w:pPr>
      <w:r>
        <w:rPr>
          <w:rFonts w:cs="Zurich BT;Tahoma" w:ascii="Zurich BT;Tahoma" w:hAnsi="Zurich BT;Tahoma"/>
          <w:spacing w:val="-8"/>
          <w:sz w:val="18"/>
        </w:rPr>
      </w:r>
    </w:p>
    <w:p>
      <w:pPr>
        <w:pStyle w:val="Normal"/>
        <w:rPr>
          <w:spacing w:val="-8"/>
        </w:rPr>
      </w:pPr>
      <w:r>
        <w:rPr>
          <w:spacing w:val="-8"/>
        </w:rPr>
        <w:t>Please join me in congratulating the following EPSA committee and working group chairs for 2002.  Their tenure will take effect in January 2002.</w:t>
      </w:r>
    </w:p>
    <w:p>
      <w:pPr>
        <w:pStyle w:val="Normal"/>
        <w:rPr>
          <w:spacing w:val="-8"/>
        </w:rPr>
      </w:pPr>
      <w:r>
        <w:rPr>
          <w:spacing w:val="-8"/>
        </w:rPr>
      </w:r>
    </w:p>
    <w:p>
      <w:pPr>
        <w:pStyle w:val="Normal"/>
        <w:rPr>
          <w:spacing w:val="-8"/>
        </w:rPr>
      </w:pPr>
      <w:r>
        <w:rPr>
          <w:spacing w:val="-8"/>
        </w:rPr>
        <w:t>You will note that there will no longer be a Power Marketers Working Group.  That group was organized four years ago to assure that issues of interest to marketers were covered.  Since that time both our membership and the nature of the issues has changed.  Most of our Board and Associate level members now have marketing operations, and issues concerning market development are in the forefront.  At this point, having such a subgroup within the Regulatory Affairs Committee causes a lot of confusion.</w:t>
      </w:r>
    </w:p>
    <w:p>
      <w:pPr>
        <w:pStyle w:val="Normal"/>
        <w:rPr>
          <w:spacing w:val="-8"/>
        </w:rPr>
      </w:pPr>
      <w:r>
        <w:rPr>
          <w:spacing w:val="-8"/>
        </w:rPr>
      </w:r>
    </w:p>
    <w:p>
      <w:pPr>
        <w:pStyle w:val="Normal"/>
        <w:rPr>
          <w:spacing w:val="-8"/>
        </w:rPr>
      </w:pPr>
      <w:r>
        <w:rPr>
          <w:spacing w:val="-8"/>
        </w:rPr>
        <w:t>For this reason, the Executive Committee agreed with Julie Simon’s and my recommendation to disband the working group after 2001.  At the same time, we recommended establishing a vice chair, since the purview of the committee is so broad.</w:t>
      </w:r>
      <w:r>
        <w:br w:type="page"/>
      </w:r>
    </w:p>
    <w:p>
      <w:pPr>
        <w:pStyle w:val="Normal"/>
        <w:jc w:val="center"/>
        <w:rPr>
          <w:b/>
          <w:spacing w:val="-8"/>
          <w:sz w:val="28"/>
        </w:rPr>
      </w:pPr>
      <w:r>
        <w:rPr>
          <w:b/>
          <w:spacing w:val="-8"/>
          <w:sz w:val="28"/>
        </w:rPr>
      </w:r>
    </w:p>
    <w:p>
      <w:pPr>
        <w:pStyle w:val="Normal"/>
        <w:jc w:val="center"/>
        <w:rPr>
          <w:b/>
          <w:sz w:val="28"/>
        </w:rPr>
      </w:pPr>
      <w:r>
        <w:rPr>
          <w:b/>
          <w:sz w:val="28"/>
        </w:rPr>
      </w:r>
    </w:p>
    <w:p>
      <w:pPr>
        <w:pStyle w:val="Heading1"/>
        <w:ind w:hanging="0" w:start="0"/>
        <w:rPr/>
      </w:pPr>
      <w:r>
        <w:rPr/>
        <w:t>2002 COMMITTEE &amp; WORKING GROUP CHAIRS</w:t>
      </w:r>
    </w:p>
    <w:p>
      <w:pPr>
        <w:pStyle w:val="Normal"/>
        <w:jc w:val="center"/>
        <w:rPr>
          <w:b/>
          <w:sz w:val="28"/>
        </w:rPr>
      </w:pPr>
      <w:r>
        <w:rPr>
          <w:b/>
          <w:sz w:val="28"/>
        </w:rPr>
      </w:r>
    </w:p>
    <w:p>
      <w:pPr>
        <w:pStyle w:val="Normal"/>
        <w:jc w:val="center"/>
        <w:rPr>
          <w:b/>
          <w:sz w:val="28"/>
        </w:rPr>
      </w:pPr>
      <w:r>
        <w:rPr>
          <w:b/>
          <w:sz w:val="28"/>
        </w:rPr>
      </w:r>
    </w:p>
    <w:p>
      <w:pPr>
        <w:pStyle w:val="Normal"/>
        <w:ind w:hanging="4320" w:start="4320" w:end="0"/>
        <w:rPr/>
      </w:pPr>
      <w:r>
        <w:rPr/>
        <w:t>Environmental Issues Committee</w:t>
        <w:tab/>
        <w:t>Michael Childers, Vice President</w:t>
      </w:r>
    </w:p>
    <w:p>
      <w:pPr>
        <w:pStyle w:val="Normal"/>
        <w:ind w:start="4320" w:end="0"/>
        <w:rPr/>
      </w:pPr>
      <w:r>
        <w:rPr/>
        <w:t>Mirant Corp.</w:t>
      </w:r>
    </w:p>
    <w:p>
      <w:pPr>
        <w:pStyle w:val="Normal"/>
        <w:rPr/>
      </w:pPr>
      <w:r>
        <w:rPr/>
      </w:r>
    </w:p>
    <w:p>
      <w:pPr>
        <w:pStyle w:val="Header"/>
        <w:tabs>
          <w:tab w:val="clear" w:pos="4320"/>
          <w:tab w:val="clear" w:pos="8640"/>
        </w:tabs>
        <w:rPr>
          <w:rFonts w:ascii="Arial" w:hAnsi="Arial" w:cs="Arial"/>
          <w:sz w:val="24"/>
        </w:rPr>
      </w:pPr>
      <w:r>
        <w:rPr>
          <w:rFonts w:cs="Arial" w:ascii="Arial" w:hAnsi="Arial"/>
          <w:sz w:val="24"/>
        </w:rPr>
        <w:t>Industry Operations Committee</w:t>
        <w:tab/>
        <w:tab/>
        <w:t>Jared Long, President</w:t>
      </w:r>
    </w:p>
    <w:p>
      <w:pPr>
        <w:pStyle w:val="Normal"/>
        <w:rPr/>
      </w:pPr>
      <w:r>
        <w:rPr/>
        <w:tab/>
        <w:tab/>
        <w:tab/>
        <w:tab/>
        <w:tab/>
        <w:tab/>
        <w:t>Constellation Operating Services</w:t>
      </w:r>
    </w:p>
    <w:p>
      <w:pPr>
        <w:pStyle w:val="Normal"/>
        <w:rPr/>
      </w:pPr>
      <w:r>
        <w:rPr/>
      </w:r>
    </w:p>
    <w:p>
      <w:pPr>
        <w:pStyle w:val="Normal"/>
        <w:ind w:hanging="4320" w:start="4320" w:end="0"/>
        <w:rPr/>
      </w:pPr>
      <w:r>
        <w:rPr/>
        <w:t>International Issues Committee</w:t>
        <w:tab/>
        <w:t>Yamin Afshar, Senior Vice President</w:t>
      </w:r>
    </w:p>
    <w:p>
      <w:pPr>
        <w:pStyle w:val="Normal"/>
        <w:rPr/>
      </w:pPr>
      <w:r>
        <w:rPr/>
        <w:tab/>
        <w:tab/>
        <w:tab/>
        <w:tab/>
        <w:tab/>
        <w:tab/>
        <w:t>Cogentrix Energy Inc.</w:t>
      </w:r>
    </w:p>
    <w:p>
      <w:pPr>
        <w:pStyle w:val="Normal"/>
        <w:rPr/>
      </w:pPr>
      <w:r>
        <w:rPr/>
      </w:r>
    </w:p>
    <w:p>
      <w:pPr>
        <w:pStyle w:val="Normal"/>
        <w:ind w:hanging="4320" w:start="4320" w:end="0"/>
        <w:rPr/>
      </w:pPr>
      <w:r>
        <w:rPr/>
        <w:t>Legislative Affairs Committee</w:t>
        <w:tab/>
        <w:t>Scott Weiner, Senior Vice President</w:t>
      </w:r>
    </w:p>
    <w:p>
      <w:pPr>
        <w:pStyle w:val="Normal"/>
        <w:rPr/>
      </w:pPr>
      <w:r>
        <w:rPr/>
        <w:tab/>
        <w:tab/>
        <w:tab/>
        <w:tab/>
        <w:tab/>
        <w:tab/>
        <w:t>Sithe Energies Inc.</w:t>
      </w:r>
    </w:p>
    <w:p>
      <w:pPr>
        <w:pStyle w:val="Normal"/>
        <w:rPr/>
      </w:pPr>
      <w:r>
        <w:rPr/>
      </w:r>
    </w:p>
    <w:p>
      <w:pPr>
        <w:pStyle w:val="Normal"/>
        <w:rPr/>
      </w:pPr>
      <w:r>
        <w:rPr/>
        <w:tab/>
        <w:t>Accounting Working Group</w:t>
        <w:tab/>
        <w:tab/>
        <w:t>Kevin Polchow, Tax Director</w:t>
      </w:r>
    </w:p>
    <w:p>
      <w:pPr>
        <w:pStyle w:val="Normal"/>
        <w:rPr/>
      </w:pPr>
      <w:r>
        <w:rPr/>
        <w:tab/>
        <w:tab/>
        <w:tab/>
        <w:tab/>
        <w:tab/>
        <w:tab/>
        <w:t>AES Corp.</w:t>
      </w:r>
    </w:p>
    <w:p>
      <w:pPr>
        <w:pStyle w:val="Normal"/>
        <w:rPr/>
      </w:pPr>
      <w:r>
        <w:rPr/>
      </w:r>
    </w:p>
    <w:p>
      <w:pPr>
        <w:pStyle w:val="Normal"/>
        <w:rPr/>
      </w:pPr>
      <w:r>
        <w:rPr/>
        <w:tab/>
        <w:t>Tax Policy Working Group</w:t>
        <w:tab/>
        <w:tab/>
        <w:t>Shirley Myers, Vice President</w:t>
      </w:r>
    </w:p>
    <w:p>
      <w:pPr>
        <w:pStyle w:val="Normal"/>
        <w:rPr/>
      </w:pPr>
      <w:r>
        <w:rPr/>
        <w:tab/>
        <w:tab/>
        <w:tab/>
        <w:tab/>
        <w:tab/>
        <w:tab/>
        <w:t>TECO Energy Inc.</w:t>
      </w:r>
    </w:p>
    <w:p>
      <w:pPr>
        <w:pStyle w:val="Normal"/>
        <w:rPr/>
      </w:pPr>
      <w:r>
        <w:rPr/>
      </w:r>
    </w:p>
    <w:p>
      <w:pPr>
        <w:pStyle w:val="Normal"/>
        <w:rPr/>
      </w:pPr>
      <w:r>
        <w:rPr/>
        <w:t>Political Action Committee</w:t>
        <w:tab/>
        <w:tab/>
        <w:tab/>
        <w:t>Joseph Ronan, Jr., Vice President</w:t>
      </w:r>
    </w:p>
    <w:p>
      <w:pPr>
        <w:pStyle w:val="Normal"/>
        <w:rPr/>
      </w:pPr>
      <w:r>
        <w:rPr/>
        <w:tab/>
        <w:tab/>
        <w:tab/>
        <w:tab/>
        <w:tab/>
        <w:tab/>
        <w:t>Calpine Corp.</w:t>
      </w:r>
    </w:p>
    <w:p>
      <w:pPr>
        <w:pStyle w:val="Normal"/>
        <w:rPr/>
      </w:pPr>
      <w:r>
        <w:rPr/>
      </w:r>
    </w:p>
    <w:p>
      <w:pPr>
        <w:pStyle w:val="Normal"/>
        <w:ind w:hanging="4320" w:start="4320" w:end="0"/>
        <w:rPr/>
      </w:pPr>
      <w:r>
        <w:rPr/>
        <w:t>Public Affairs Committee</w:t>
        <w:tab/>
        <w:t>Mark Palmer, Vice President</w:t>
      </w:r>
    </w:p>
    <w:p>
      <w:pPr>
        <w:pStyle w:val="Normal"/>
        <w:ind w:start="4320" w:end="0"/>
        <w:rPr/>
      </w:pPr>
      <w:r>
        <w:rPr/>
        <w:t>Enron Corp.</w:t>
      </w:r>
    </w:p>
    <w:p>
      <w:pPr>
        <w:pStyle w:val="Normal"/>
        <w:rPr/>
      </w:pPr>
      <w:r>
        <w:rPr/>
      </w:r>
    </w:p>
    <w:p>
      <w:pPr>
        <w:pStyle w:val="Normal"/>
        <w:ind w:hanging="720" w:start="720" w:end="0"/>
        <w:rPr/>
      </w:pPr>
      <w:r>
        <w:rPr/>
        <w:t>Regulatory Affairs Committee</w:t>
        <w:tab/>
        <w:tab/>
        <w:t>Chair—Robert Reilly, Vice President</w:t>
        <w:tab/>
        <w:tab/>
        <w:tab/>
        <w:tab/>
        <w:tab/>
        <w:tab/>
        <w:t>Shell Trading</w:t>
      </w:r>
    </w:p>
    <w:p>
      <w:pPr>
        <w:pStyle w:val="Normal"/>
        <w:rPr/>
      </w:pPr>
      <w:r>
        <w:rPr/>
        <w:tab/>
        <w:tab/>
        <w:tab/>
        <w:tab/>
        <w:tab/>
        <w:tab/>
        <w:t>Vice Chair—Tim Thuston, Director</w:t>
      </w:r>
    </w:p>
    <w:p>
      <w:pPr>
        <w:pStyle w:val="Normal"/>
        <w:rPr/>
      </w:pPr>
      <w:r>
        <w:rPr/>
        <w:tab/>
        <w:tab/>
        <w:tab/>
        <w:tab/>
        <w:tab/>
        <w:tab/>
        <w:t>Williams Energy Marketing and Trading</w:t>
      </w:r>
    </w:p>
    <w:p>
      <w:pPr>
        <w:pStyle w:val="Normal"/>
        <w:rPr/>
      </w:pPr>
      <w:r>
        <w:rPr/>
      </w:r>
    </w:p>
    <w:p>
      <w:pPr>
        <w:pStyle w:val="Normal"/>
        <w:rPr/>
      </w:pPr>
      <w:r>
        <w:rPr/>
        <w:tab/>
        <w:t>Natural Gas Working Group</w:t>
        <w:tab/>
        <w:t>John Orr, Director</w:t>
      </w:r>
    </w:p>
    <w:p>
      <w:pPr>
        <w:pStyle w:val="Normal"/>
        <w:rPr/>
      </w:pPr>
      <w:r>
        <w:rPr/>
        <w:tab/>
        <w:tab/>
        <w:tab/>
        <w:tab/>
        <w:tab/>
        <w:tab/>
        <w:t>Reliant Energy</w:t>
      </w:r>
    </w:p>
    <w:p>
      <w:pPr>
        <w:pStyle w:val="Normal"/>
        <w:rPr/>
      </w:pPr>
      <w:r>
        <w:rPr/>
      </w:r>
    </w:p>
    <w:p>
      <w:pPr>
        <w:pStyle w:val="Normal"/>
        <w:rPr/>
      </w:pPr>
      <w:r>
        <w:rPr/>
        <w:tab/>
        <w:t>NERC Working Group</w:t>
        <w:tab/>
        <w:tab/>
        <w:t>Michael Gildea, Manager</w:t>
      </w:r>
    </w:p>
    <w:p>
      <w:pPr>
        <w:pStyle w:val="Normal"/>
        <w:rPr/>
      </w:pPr>
      <w:r>
        <w:rPr/>
        <w:tab/>
        <w:tab/>
        <w:tab/>
        <w:tab/>
        <w:tab/>
        <w:tab/>
        <w:t>Duke Energy North America</w:t>
      </w:r>
    </w:p>
    <w:p>
      <w:pPr>
        <w:pStyle w:val="Normal"/>
        <w:rPr/>
      </w:pPr>
      <w:r>
        <w:rPr/>
      </w:r>
    </w:p>
    <w:p>
      <w:pPr>
        <w:pStyle w:val="Normal"/>
        <w:ind w:hanging="4320" w:start="4320" w:end="0"/>
        <w:rPr/>
      </w:pPr>
      <w:r>
        <w:rPr/>
        <w:t>Renewables Committee</w:t>
        <w:tab/>
        <w:t>Andrew Chau, Regulatory Counsel &amp; Director</w:t>
      </w:r>
    </w:p>
    <w:p>
      <w:pPr>
        <w:pStyle w:val="Normal"/>
        <w:rPr/>
      </w:pPr>
      <w:r>
        <w:rPr/>
        <w:tab/>
        <w:tab/>
        <w:tab/>
        <w:tab/>
        <w:tab/>
        <w:tab/>
        <w:t>Tractebel North America</w:t>
      </w:r>
    </w:p>
    <w:p>
      <w:pPr>
        <w:pStyle w:val="Normal"/>
        <w:rPr/>
      </w:pPr>
      <w:r>
        <w:rPr/>
      </w:r>
    </w:p>
    <w:p>
      <w:pPr>
        <w:pStyle w:val="Normal"/>
        <w:ind w:hanging="4320" w:start="4320" w:end="0"/>
        <w:rPr/>
      </w:pPr>
      <w:r>
        <w:rPr/>
        <w:t>State Issues Committee</w:t>
        <w:tab/>
        <w:t>Douglas McFarlan, Regional Vice President</w:t>
      </w:r>
    </w:p>
    <w:p>
      <w:pPr>
        <w:pStyle w:val="Normal"/>
        <w:ind w:hanging="4320" w:start="4320" w:end="0"/>
        <w:rPr/>
      </w:pPr>
      <w:r>
        <w:rPr/>
        <w:tab/>
        <w:t>Midwest Generation (Edison Mission Energy)</w:t>
      </w:r>
    </w:p>
    <w:p>
      <w:pPr>
        <w:pStyle w:val="Normal"/>
        <w:ind w:hanging="4320" w:start="4320" w:end="0"/>
        <w:rPr/>
      </w:pPr>
      <w:r>
        <w:rPr/>
      </w:r>
    </w:p>
    <w:p>
      <w:pPr>
        <w:pStyle w:val="Normal"/>
        <w:rPr>
          <w:spacing w:val="-8"/>
        </w:rPr>
      </w:pPr>
      <w:r>
        <w:rPr>
          <w:spacing w:val="-8"/>
        </w:rPr>
      </w:r>
    </w:p>
    <w:sectPr>
      <w:type w:val="nextPage"/>
      <w:pgSz w:w="12240" w:h="15840"/>
      <w:pgMar w:left="1728" w:right="1440" w:gutter="0" w:header="0" w:top="576"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Zurich BT">
    <w:altName w:val="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8"/>
    </w:rPr>
  </w:style>
  <w:style w:type="character" w:styleId="WW8Num1z0">
    <w:name w:val="WW8Num1z0"/>
    <w:qFormat/>
    <w:rPr>
      <w:rFonts w:ascii="Symbol" w:hAnsi="Symbol" w:cs="Symbol"/>
      <w:sz w:val="24"/>
    </w:rPr>
  </w:style>
  <w:style w:type="character" w:styleId="WW8Num2z0">
    <w:name w:val="WW8Num2z0"/>
    <w:qFormat/>
    <w:rPr>
      <w:rFonts w:ascii="Symbol" w:hAnsi="Symbol" w:cs="Symbol"/>
      <w:sz w:val="24"/>
    </w:rPr>
  </w:style>
  <w:style w:type="character" w:styleId="WW8Num3z0">
    <w:name w:val="WW8Num3z0"/>
    <w:qFormat/>
    <w:rPr>
      <w:rFonts w:ascii="Symbol" w:hAnsi="Symbol" w:cs="Symbol"/>
      <w:sz w:val="24"/>
    </w:rPr>
  </w:style>
  <w:style w:type="character" w:styleId="WW8Num4z0">
    <w:name w:val="WW8Num4z0"/>
    <w:qFormat/>
    <w:rPr>
      <w:rFonts w:ascii="Symbol" w:hAnsi="Symbol" w:cs="Symbol"/>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sz w:val="20"/>
    </w:rPr>
  </w:style>
  <w:style w:type="paragraph" w:styleId="DefinitionTerm">
    <w:name w:val="Definition Term"/>
    <w:basedOn w:val="Normal"/>
    <w:next w:val="Normal"/>
    <w:qFormat/>
    <w:pPr>
      <w:widowControl w:val="false"/>
    </w:pPr>
    <w:rPr>
      <w:rFonts w:ascii="Times New Roman" w:hAnsi="Times New Roman" w:cs="Times New Roman"/>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2001-11-20T16:49:00Z</dcterms:created>
  <dc:creator>Laurie Martin</dc:creator>
  <dc:description/>
  <dc:language>en-CA</dc:language>
  <cp:lastModifiedBy>Laurie Martin</cp:lastModifiedBy>
  <cp:lastPrinted>2001-11-20T10:30:00Z</cp:lastPrinted>
  <dcterms:modified xsi:type="dcterms:W3CDTF">2001-11-20T16:49:00Z</dcterms:modified>
  <cp:revision>2</cp:revision>
  <dc:subject/>
  <dc:title> </dc:title>
</cp:coreProperties>
</file>