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22, 2001</w:t>
      </w:r>
    </w:p>
    <w:p>
      <w:pPr>
        <w:pStyle w:val="Normal"/>
        <w:rPr/>
      </w:pPr>
      <w:r>
        <w:rPr/>
      </w:r>
    </w:p>
    <w:p>
      <w:pPr>
        <w:pStyle w:val="Normal"/>
        <w:rPr/>
      </w:pPr>
      <w:r>
        <w:rPr/>
        <w:t>Mr. Barry Gray</w:t>
      </w:r>
    </w:p>
    <w:p>
      <w:pPr>
        <w:pStyle w:val="Normal"/>
        <w:rPr/>
      </w:pPr>
      <w:r>
        <w:rPr/>
        <w:t>El Paso Electric Company</w:t>
      </w:r>
    </w:p>
    <w:p>
      <w:pPr>
        <w:pStyle w:val="Normal"/>
        <w:rPr/>
      </w:pPr>
      <w:r>
        <w:rPr/>
        <w:t>P. O. Box 982</w:t>
      </w:r>
    </w:p>
    <w:p>
      <w:pPr>
        <w:pStyle w:val="Normal"/>
        <w:rPr/>
      </w:pPr>
      <w:r>
        <w:rPr/>
        <w:t>El Paso, Texas 79960</w:t>
      </w:r>
    </w:p>
    <w:p>
      <w:pPr>
        <w:pStyle w:val="Normal"/>
        <w:rPr/>
      </w:pPr>
      <w:r>
        <w:rPr/>
      </w:r>
    </w:p>
    <w:p>
      <w:pPr>
        <w:pStyle w:val="Normal"/>
        <w:rPr/>
      </w:pPr>
      <w:r>
        <w:rPr/>
        <w:t>Fax:  (915) 521-4751</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El Paso Electric Company </w:t>
      </w:r>
      <w:r>
        <w:rPr/>
        <w:t>(“</w:t>
      </w:r>
      <w:r>
        <w:rPr>
          <w:u w:val="single"/>
        </w:rPr>
        <w:t>Customer</w:t>
      </w:r>
      <w:r>
        <w:rPr/>
        <w:t>” or “</w:t>
      </w:r>
      <w:r>
        <w:rPr>
          <w:u w:val="single"/>
        </w:rPr>
        <w:t>Buyer</w:t>
      </w:r>
      <w:r>
        <w:rPr/>
        <w:t xml:space="preserve">”) and </w:t>
      </w:r>
      <w:r>
        <w:rPr>
          <w:b/>
        </w:rPr>
        <w:t>Enron North America</w:t>
      </w:r>
      <w:r>
        <w:rPr/>
        <w:t xml:space="preserve"> </w:t>
      </w:r>
      <w:r>
        <w:rPr>
          <w:b/>
        </w:rPr>
        <w:t xml:space="preserve">Corp.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540" w:type="dxa"/>
        <w:jc w:val="start"/>
        <w:tblInd w:w="0" w:type="dxa"/>
        <w:tblLayout w:type="fixed"/>
        <w:tblCellMar>
          <w:top w:w="0" w:type="dxa"/>
          <w:start w:w="108" w:type="dxa"/>
          <w:bottom w:w="0" w:type="dxa"/>
          <w:end w:w="108" w:type="dxa"/>
        </w:tblCellMar>
      </w:tblPr>
      <w:tblGrid>
        <w:gridCol w:w="2988"/>
        <w:gridCol w:w="6552"/>
      </w:tblGrid>
      <w:tr>
        <w:trPr/>
        <w:tc>
          <w:tcPr>
            <w:tcW w:w="2988" w:type="dxa"/>
            <w:tcBorders/>
          </w:tcPr>
          <w:p>
            <w:pPr>
              <w:pStyle w:val="Normal"/>
              <w:rPr>
                <w:b/>
              </w:rPr>
            </w:pPr>
            <w:r>
              <w:rPr>
                <w:b/>
              </w:rPr>
              <w:t>Quantity (DCQ):</w:t>
            </w:r>
          </w:p>
        </w:tc>
        <w:tc>
          <w:tcPr>
            <w:tcW w:w="6552" w:type="dxa"/>
            <w:tcBorders/>
          </w:tcPr>
          <w:p>
            <w:pPr>
              <w:pStyle w:val="Normal"/>
              <w:ind w:start="-108" w:end="-144"/>
              <w:rPr/>
            </w:pPr>
            <w:r>
              <w:rPr/>
              <w:t>30,000 MMBtu/Day  -  100% Load Factor</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DELIVERY POINTS:</w:t>
            </w:r>
          </w:p>
        </w:tc>
        <w:tc>
          <w:tcPr>
            <w:tcW w:w="6552" w:type="dxa"/>
            <w:tcBorders/>
          </w:tcPr>
          <w:p>
            <w:pPr>
              <w:pStyle w:val="Normal"/>
              <w:ind w:start="-108" w:end="144"/>
              <w:jc w:val="both"/>
              <w:rPr/>
            </w:pPr>
            <w:r>
              <w:rPr/>
              <w:t>Keystone Pool.</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CONTRACT PRICE:</w:t>
            </w:r>
          </w:p>
        </w:tc>
        <w:tc>
          <w:tcPr>
            <w:tcW w:w="6552" w:type="dxa"/>
            <w:tcBorders/>
          </w:tcPr>
          <w:p>
            <w:pPr>
              <w:pStyle w:val="Normal"/>
              <w:ind w:start="-108" w:end="144"/>
              <w:jc w:val="both"/>
              <w:rPr/>
            </w:pPr>
            <w:r>
              <w:rPr/>
              <w:t>$4.62 per MMBtu.</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rPr>
                <w:b/>
              </w:rPr>
            </w:pPr>
            <w:r>
              <w:rPr>
                <w:b/>
              </w:rPr>
              <w:t>PERIOD OF DELIVERY:</w:t>
            </w:r>
          </w:p>
        </w:tc>
        <w:tc>
          <w:tcPr>
            <w:tcW w:w="6552" w:type="dxa"/>
            <w:tcBorders/>
          </w:tcPr>
          <w:p>
            <w:pPr>
              <w:pStyle w:val="Normal"/>
              <w:ind w:start="-108" w:end="0"/>
              <w:rPr/>
            </w:pPr>
            <w:r>
              <w:rPr/>
              <w:t>January 1, 2002 through December 31, 2003.</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jc w:val="both"/>
              <w:rPr>
                <w:b/>
              </w:rPr>
            </w:pPr>
            <w:r>
              <w:rPr>
                <w:b/>
              </w:rPr>
              <w:t>SPOT PRICE LOCATION:</w:t>
            </w:r>
          </w:p>
        </w:tc>
        <w:tc>
          <w:tcPr>
            <w:tcW w:w="6552" w:type="dxa"/>
            <w:tcBorders/>
          </w:tcPr>
          <w:p>
            <w:pPr>
              <w:pStyle w:val="Normal"/>
              <w:ind w:start="-108" w:end="0"/>
              <w:jc w:val="both"/>
              <w:rPr/>
            </w:pPr>
            <w:r>
              <w:rPr/>
              <w:t>El Paso Permian Basin</w:t>
            </w:r>
          </w:p>
        </w:tc>
      </w:tr>
      <w:tr>
        <w:trPr/>
        <w:tc>
          <w:tcPr>
            <w:tcW w:w="298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2988" w:type="dxa"/>
            <w:tcBorders/>
          </w:tcPr>
          <w:p>
            <w:pPr>
              <w:pStyle w:val="Normal"/>
              <w:rPr>
                <w:b/>
              </w:rPr>
            </w:pPr>
            <w:r>
              <w:rPr>
                <w:b/>
              </w:rPr>
              <w:t>OTHER:</w:t>
            </w:r>
          </w:p>
        </w:tc>
        <w:tc>
          <w:tcPr>
            <w:tcW w:w="6552" w:type="dxa"/>
            <w:tcBorders/>
          </w:tcPr>
          <w:p>
            <w:pPr>
              <w:pStyle w:val="BodyText"/>
              <w:ind w:start="-90" w:end="144"/>
              <w:rPr/>
            </w:pPr>
            <w:r>
              <w:rPr/>
              <w:t>Notwithstanding anything to the contrary contained in the attached Firm GTC, the parties acknowledge and agree that the DCQ is a firm obligation and that no Event of Force Majeure shall operate to excuse either party from its obligation to sell or purchase the DCQ during the Period of Delivery.</w:t>
            </w:r>
          </w:p>
          <w:p>
            <w:pPr>
              <w:pStyle w:val="Normal"/>
              <w:jc w:val="both"/>
              <w:rPr/>
            </w:pPr>
            <w:r>
              <w:rPr/>
            </w:r>
          </w:p>
          <w:p>
            <w:pPr>
              <w:pStyle w:val="Normal"/>
              <w:ind w:start="-108" w:end="0"/>
              <w:jc w:val="both"/>
              <w:rPr>
                <w:b/>
              </w:rPr>
            </w:pPr>
            <w:r>
              <w:rPr>
                <w:b/>
              </w:rPr>
              <w:t>Notice and Communication to Company:</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Confirmation / Documentation</w:t>
            </w:r>
          </w:p>
          <w:p>
            <w:pPr>
              <w:pStyle w:val="Normal"/>
              <w:ind w:start="-108" w:end="0"/>
              <w:jc w:val="both"/>
              <w:rPr/>
            </w:pPr>
            <w:r>
              <w:rPr/>
              <w:t>Facsimile No.  713-646-4816</w:t>
            </w:r>
          </w:p>
          <w:p>
            <w:pPr>
              <w:pStyle w:val="Normal"/>
              <w:ind w:start="-108" w:end="0"/>
              <w:jc w:val="both"/>
              <w:rPr/>
            </w:pPr>
            <w:r>
              <w:rPr/>
            </w:r>
          </w:p>
          <w:p>
            <w:pPr>
              <w:pStyle w:val="Normal"/>
              <w:ind w:start="-108" w:end="0"/>
              <w:jc w:val="both"/>
              <w:rPr>
                <w:b/>
              </w:rPr>
            </w:pPr>
            <w:r>
              <w:rPr>
                <w:b/>
              </w:rPr>
              <w:t>Billing, Invoices and Accounting Notices:</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Contract Settlement</w:t>
            </w:r>
          </w:p>
          <w:p>
            <w:pPr>
              <w:pStyle w:val="Normal"/>
              <w:ind w:start="-108" w:end="0"/>
              <w:jc w:val="both"/>
              <w:rPr/>
            </w:pPr>
            <w:r>
              <w:rPr/>
              <w:t>Facsimile No.  713-646-8420</w:t>
            </w:r>
          </w:p>
          <w:p>
            <w:pPr>
              <w:pStyle w:val="Normal"/>
              <w:ind w:start="-108" w:end="0"/>
              <w:jc w:val="both"/>
              <w:rPr/>
            </w:pPr>
            <w:r>
              <w:rPr/>
            </w:r>
          </w:p>
        </w:tc>
      </w:tr>
      <w:tr>
        <w:trPr/>
        <w:tc>
          <w:tcPr>
            <w:tcW w:w="2988" w:type="dxa"/>
            <w:tcBorders/>
          </w:tcPr>
          <w:p>
            <w:pPr>
              <w:pStyle w:val="Normal"/>
              <w:snapToGrid w:val="false"/>
              <w:rPr/>
            </w:pPr>
            <w:r>
              <w:rPr/>
            </w:r>
          </w:p>
        </w:tc>
        <w:tc>
          <w:tcPr>
            <w:tcW w:w="6552" w:type="dxa"/>
            <w:tcBorders/>
          </w:tcPr>
          <w:p>
            <w:pPr>
              <w:pStyle w:val="BodyText"/>
              <w:widowControl/>
              <w:ind w:start="-108" w:end="0"/>
              <w:rPr>
                <w:b/>
              </w:rPr>
            </w:pPr>
            <w:r>
              <w:rPr>
                <w:b/>
              </w:rPr>
              <w:t>Payments to Company:</w:t>
            </w:r>
          </w:p>
          <w:p>
            <w:pPr>
              <w:pStyle w:val="Normal"/>
              <w:ind w:start="-108" w:end="0"/>
              <w:jc w:val="both"/>
              <w:rPr/>
            </w:pPr>
            <w:r>
              <w:rPr/>
              <w:t>Enron North America Corp.</w:t>
            </w:r>
          </w:p>
          <w:p>
            <w:pPr>
              <w:pStyle w:val="Normal"/>
              <w:ind w:start="-108" w:end="0"/>
              <w:jc w:val="both"/>
              <w:rPr/>
            </w:pPr>
            <w:r>
              <w:rPr/>
              <w:t xml:space="preserve">ABA Routing 111000012 Bank of America </w:t>
            </w:r>
          </w:p>
          <w:p>
            <w:pPr>
              <w:pStyle w:val="Normal"/>
              <w:ind w:start="-108" w:end="0"/>
              <w:jc w:val="both"/>
              <w:rPr/>
            </w:pPr>
            <w:r>
              <w:rPr/>
              <w:t>Account 3750494099</w:t>
            </w:r>
          </w:p>
          <w:p>
            <w:pPr>
              <w:pStyle w:val="Normal"/>
              <w:ind w:start="-108" w:end="0"/>
              <w:jc w:val="both"/>
              <w:rPr/>
            </w:pPr>
            <w:r>
              <w:rPr/>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ENA Gas Trading</w:t>
            </w:r>
          </w:p>
          <w:p>
            <w:pPr>
              <w:pStyle w:val="Normal"/>
              <w:ind w:start="-108" w:end="0"/>
              <w:jc w:val="both"/>
              <w:rPr/>
            </w:pPr>
            <w:r>
              <w:rPr/>
              <w:t>Facsimile No. (713) 646-2531</w:t>
            </w:r>
          </w:p>
          <w:p>
            <w:pPr>
              <w:pStyle w:val="Normal"/>
              <w:ind w:start="-108" w:end="0"/>
              <w:rPr/>
            </w:pPr>
            <w:r>
              <w:rPr/>
            </w:r>
          </w:p>
        </w:tc>
      </w:tr>
      <w:tr>
        <w:trPr/>
        <w:tc>
          <w:tcPr>
            <w:tcW w:w="2988" w:type="dxa"/>
            <w:tcBorders/>
          </w:tcPr>
          <w:p>
            <w:pPr>
              <w:pStyle w:val="Normal"/>
              <w:snapToGrid w:val="false"/>
              <w:rPr/>
            </w:pPr>
            <w:r>
              <w:rPr/>
            </w:r>
          </w:p>
        </w:tc>
        <w:tc>
          <w:tcPr>
            <w:tcW w:w="6552" w:type="dxa"/>
            <w:tcBorders/>
          </w:tcPr>
          <w:p>
            <w:pPr>
              <w:pStyle w:val="Normal"/>
              <w:widowControl w:val="false"/>
              <w:ind w:start="-108" w:end="0"/>
              <w:rPr>
                <w:b/>
              </w:rPr>
            </w:pPr>
            <w:r>
              <w:rPr>
                <w:b/>
              </w:rPr>
              <w:t>Notice and Communication to Customer:</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widowControl w:val="false"/>
              <w:ind w:start="-90" w:end="0"/>
              <w:rPr/>
            </w:pPr>
            <w:r>
              <w:rPr/>
              <w:t>Facsimile No. (915) 521-4751</w:t>
            </w:r>
          </w:p>
          <w:p>
            <w:pPr>
              <w:pStyle w:val="Normal"/>
              <w:widowControl w:val="false"/>
              <w:ind w:start="-108" w:end="0"/>
              <w:rPr/>
            </w:pPr>
            <w:r>
              <w:rPr/>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snapToGrid w:val="false"/>
              <w:rPr/>
            </w:pPr>
            <w:r>
              <w:rPr/>
            </w:r>
          </w:p>
        </w:tc>
        <w:tc>
          <w:tcPr>
            <w:tcW w:w="6552" w:type="dxa"/>
            <w:tcBorders/>
          </w:tcPr>
          <w:p>
            <w:pPr>
              <w:pStyle w:val="Normal"/>
              <w:ind w:start="-108" w:end="0"/>
              <w:rPr>
                <w:b/>
              </w:rPr>
            </w:pPr>
            <w:r>
              <w:rPr>
                <w:b/>
              </w:rPr>
              <w:t>Billing, Invoices and Accounting Matters:</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ind w:start="-108" w:end="0"/>
              <w:rPr/>
            </w:pPr>
            <w:r>
              <w:rPr/>
              <w:t>Facsimile No. (915) 521-4751</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bl>
    <w:p>
      <w:pPr>
        <w:pStyle w:val="BodyText"/>
        <w:widowControl/>
        <w:rPr/>
      </w:pPr>
      <w:r>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
        <w:widowControl/>
        <w:rPr/>
      </w:pPr>
      <w:r>
        <w:rPr/>
      </w:r>
    </w:p>
    <w:p>
      <w:pPr>
        <w:pStyle w:val="Normal"/>
        <w:rPr>
          <w:b/>
        </w:rPr>
      </w:pPr>
      <w:r>
        <w:rPr>
          <w:b/>
        </w:rPr>
        <w:t>EL PASO ELECTRIC COMPANY</w:t>
        <w:tab/>
        <w:tab/>
        <w:tab/>
        <w:t>ENRON NORTH AMERICA CORP.</w:t>
      </w:r>
    </w:p>
    <w:p>
      <w:pPr>
        <w:pStyle w:val="Normal"/>
        <w:rPr>
          <w:b/>
        </w:rPr>
      </w:pPr>
      <w:r>
        <w:rPr>
          <w:b/>
        </w:rPr>
      </w:r>
    </w:p>
    <w:p>
      <w:pPr>
        <w:pStyle w:val="Normal"/>
        <w:rPr>
          <w:b/>
        </w:rPr>
      </w:pPr>
      <w:r>
        <w:rPr>
          <w:b/>
        </w:rPr>
      </w:r>
    </w:p>
    <w:p>
      <w:pPr>
        <w:pStyle w:val="Normal"/>
        <w:rPr/>
      </w:pPr>
      <w:r>
        <w:rPr/>
        <w:t>By:____________________________________</w:t>
        <w:tab/>
        <w:tab/>
        <w:t>By: ___________________________________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tab/>
      </w:r>
    </w:p>
    <w:p>
      <w:pPr>
        <w:pStyle w:val="Normal"/>
        <w:rPr/>
      </w:pPr>
      <w:r>
        <w:rPr/>
      </w:r>
    </w:p>
    <w:p>
      <w:pPr>
        <w:pStyle w:val="Normal"/>
        <w:rPr/>
      </w:pPr>
      <w:r>
        <w:rPr/>
        <w:b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or (iv)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amount determined for such party from the table provided below, such Party as the Beneficiary Party may request the other Party to establish a Letter of Credit as the Account Party in an amount equal to the Termination Payment in excess of the collateral threshold amount determined for such party from the table provided below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12, the calculation of “Termination Payment” shall include all amounts owed but not yet paid by one Party to the other Party whether or not such amounts are then due, for performance already provided pursuant to any and all Transactions.  Failure to provide such letter of credit or other collateral shall constitute a Triggering Event hereunder giving rise to the immediate right of termination by the other party under this Firm GTC.  The collateral threshold amount shall be determined based on the Standard &amp; Poor’s Corporation rating of a party’s long-term debt unsupported by third party credit enhancement.  Such rating shall be based on Enron Corp. as to Company and El Paso Electric Company as to Customer:</w:t>
      </w:r>
    </w:p>
    <w:p>
      <w:pPr>
        <w:pStyle w:val="Normal"/>
        <w:jc w:val="both"/>
        <w:rPr>
          <w:rFonts w:ascii="Arial Narrow" w:hAnsi="Arial Narrow" w:cs="Arial Narrow"/>
          <w:sz w:val="18"/>
        </w:rPr>
      </w:pPr>
      <w:r>
        <w:rPr>
          <w:rFonts w:cs="Arial Narrow" w:ascii="Arial Narrow" w:hAnsi="Arial Narrow"/>
          <w:sz w:val="18"/>
        </w:rPr>
        <w:tab/>
      </w:r>
      <w:r>
        <w:rPr>
          <w:rFonts w:cs="Arial Narrow" w:ascii="Arial Narrow" w:hAnsi="Arial Narrow"/>
          <w:sz w:val="18"/>
          <w:u w:val="single"/>
        </w:rPr>
        <w:t>Rating</w:t>
      </w:r>
      <w:r>
        <w:rPr>
          <w:rFonts w:cs="Arial Narrow" w:ascii="Arial Narrow" w:hAnsi="Arial Narrow"/>
          <w:sz w:val="18"/>
        </w:rPr>
        <w:tab/>
        <w:tab/>
      </w:r>
      <w:r>
        <w:rPr>
          <w:rFonts w:cs="Arial Narrow" w:ascii="Arial Narrow" w:hAnsi="Arial Narrow"/>
          <w:sz w:val="18"/>
          <w:u w:val="single"/>
        </w:rPr>
        <w:t>Collateral Threshold Amount</w:t>
      </w:r>
    </w:p>
    <w:p>
      <w:pPr>
        <w:pStyle w:val="Normal"/>
        <w:jc w:val="both"/>
        <w:rPr>
          <w:rFonts w:ascii="Arial Narrow" w:hAnsi="Arial Narrow" w:cs="Arial Narrow"/>
          <w:sz w:val="18"/>
        </w:rPr>
      </w:pPr>
      <w:r>
        <w:rPr>
          <w:rFonts w:cs="Arial Narrow" w:ascii="Arial Narrow" w:hAnsi="Arial Narrow"/>
          <w:sz w:val="18"/>
        </w:rPr>
        <w:tab/>
        <w:t>BBB- or above</w:t>
        <w:tab/>
        <w:t>non applicable</w:t>
      </w:r>
    </w:p>
    <w:p>
      <w:pPr>
        <w:pStyle w:val="Normal"/>
        <w:jc w:val="both"/>
        <w:rPr>
          <w:rFonts w:ascii="Arial Narrow" w:hAnsi="Arial Narrow" w:cs="Arial Narrow"/>
          <w:sz w:val="18"/>
        </w:rPr>
      </w:pPr>
      <w:r>
        <w:rPr>
          <w:rFonts w:cs="Arial Narrow" w:ascii="Arial Narrow" w:hAnsi="Arial Narrow"/>
          <w:sz w:val="18"/>
        </w:rPr>
        <w:tab/>
        <w:t>BB+</w:t>
        <w:tab/>
        <w:tab/>
        <w:t>$10,000,000</w:t>
      </w:r>
    </w:p>
    <w:p>
      <w:pPr>
        <w:pStyle w:val="Normal"/>
        <w:jc w:val="both"/>
        <w:rPr>
          <w:rFonts w:ascii="Arial Narrow" w:hAnsi="Arial Narrow" w:cs="Arial Narrow"/>
          <w:sz w:val="18"/>
        </w:rPr>
      </w:pPr>
      <w:r>
        <w:rPr>
          <w:rFonts w:cs="Arial Narrow" w:ascii="Arial Narrow" w:hAnsi="Arial Narrow"/>
          <w:sz w:val="18"/>
        </w:rPr>
        <w:tab/>
        <w:t>BB</w:t>
        <w:tab/>
        <w:tab/>
        <w:t>$5,000,000</w:t>
      </w:r>
    </w:p>
    <w:p>
      <w:pPr>
        <w:pStyle w:val="Normal"/>
        <w:jc w:val="both"/>
        <w:rPr>
          <w:rFonts w:ascii="Arial Narrow" w:hAnsi="Arial Narrow" w:cs="Arial Narrow"/>
          <w:sz w:val="18"/>
        </w:rPr>
      </w:pPr>
      <w:r>
        <w:rPr>
          <w:rFonts w:cs="Arial Narrow" w:ascii="Arial Narrow" w:hAnsi="Arial Narrow"/>
          <w:sz w:val="18"/>
        </w:rPr>
        <w:tab/>
        <w:t>BB- or below</w:t>
        <w:tab/>
        <w:t xml:space="preserve">$0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[f:\atty.fms\3100sgtc.doc  10/96]</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sectPr>
      <w:type w:val="continuous"/>
      <w:pgSz w:w="12240" w:h="15840"/>
      <w:pgMar w:left="576"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/mnt/main-storage/datasets/enron-docs/doc/2002_2003crfm.doc</w:t>
    </w:r>
    <w:r>
      <w:rPr>
        <w:sz w:val="12"/>
        <w:rFonts w:cs="Times New Roman" w:ascii="Times New Roman" w:hAnsi="Times New Roman"/>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/mnt/main-storage/datasets/enron-docs/doc/2002_2003crfm.doc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El Paso Electric Company</w:t>
    </w:r>
  </w:p>
  <w:p>
    <w:pPr>
      <w:pStyle w:val="Header"/>
      <w:rPr>
        <w:rFonts w:ascii="Times New Roman" w:hAnsi="Times New Roman" w:cs="Times New Roman"/>
        <w:sz w:val="22"/>
      </w:rPr>
    </w:pPr>
    <w:r>
      <w:rPr>
        <w:rFonts w:cs="Times New Roman" w:ascii="Times New Roman" w:hAnsi="Times New Roman"/>
        <w:sz w:val="22"/>
      </w:rPr>
      <w:t>January 22,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673715805"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2001-01-22T17:10:00Z</dcterms:created>
  <dc:creator>Daniel J. Hyvl</dc:creator>
  <dc:description/>
  <dc:language>en-CA</dc:language>
  <cp:lastModifiedBy>kward</cp:lastModifiedBy>
  <cp:lastPrinted>2001-03-29T15:19:00Z</cp:lastPrinted>
  <dcterms:modified xsi:type="dcterms:W3CDTF">2001-03-29T19:38:00Z</dcterms:modified>
  <cp:revision>3</cp:revision>
  <dc:subject/>
  <dc:title>November 5, 1999</dc:title>
</cp:coreProperties>
</file>