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22,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Quantity (DCQ):</w:t>
            </w:r>
          </w:p>
        </w:tc>
        <w:tc>
          <w:tcPr>
            <w:tcW w:w="6552" w:type="dxa"/>
            <w:tcBorders/>
          </w:tcPr>
          <w:p>
            <w:pPr>
              <w:pStyle w:val="Normal"/>
              <w:ind w:start="-108" w:end="-144"/>
              <w:rPr/>
            </w:pPr>
            <w:r>
              <w:rPr/>
              <w:t>30,000 MMBtu/Day  -  100% Load Factor</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Keystone Pool.</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$4.62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January 1, 2002 through December 31, 2003.</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Permian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rPr>
                <w:b/>
              </w:rPr>
            </w:pPr>
            <w:r>
              <w:rPr>
                <w:b/>
              </w:rPr>
              <w:t>OTHER:</w:t>
            </w:r>
          </w:p>
        </w:tc>
        <w:tc>
          <w:tcPr>
            <w:tcW w:w="6552" w:type="dxa"/>
            <w:tcBorders/>
          </w:tcPr>
          <w:p>
            <w:pPr>
              <w:pStyle w:val="BodyText"/>
              <w:ind w:start="-90" w:end="144"/>
              <w:rPr/>
            </w:pPr>
            <w:r>
              <w:rPr/>
              <w:t>Notwithstanding anything to the contrary contained in the attached Firm GTC, the parties acknowledge and agree that the DCQ is a firm obligation and that no Event of Force Majeure shall operate to excuse either party from its obligation to sell or purchase the DCQ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298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or (iv)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amount determined for such party from the table provided below, such Party as the Beneficiary Party may request the other Party to establish a Letter of Credit as the Account Party in an amount equal to the Termination Payment in excess of the collateral threshold amount determined for such party from the table provided below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12, the calculation of “Termination Payment” shall include all amounts owed but not yet paid by one Party to the other Party whether or not such amounts are then due, for performance already provided pursuant to any and all Transactions.  Failure to provide such letter of credit or other collateral shall constitute a Triggering Event hereunder giving rise to the immediate right of termination by the other party under this Firm GTC.  The collateral threshold amount shall be determined based on the Standard &amp; Poor’s Corporation rating of a party’s long-term debt unsupported by third party credit enhancement.  Such rating shall be based on Enron Corp. as to Company and El Paso Electric Company as to Customer:</w:t>
      </w:r>
    </w:p>
    <w:p>
      <w:pPr>
        <w:pStyle w:val="Normal"/>
        <w:jc w:val="both"/>
        <w:rPr>
          <w:rFonts w:ascii="Arial Narrow" w:hAnsi="Arial Narrow" w:cs="Arial Narrow"/>
          <w:sz w:val="18"/>
        </w:rPr>
      </w:pPr>
      <w:r>
        <w:rPr>
          <w:rFonts w:cs="Arial Narrow" w:ascii="Arial Narrow" w:hAnsi="Arial Narrow"/>
          <w:sz w:val="18"/>
        </w:rPr>
        <w:tab/>
      </w:r>
      <w:r>
        <w:rPr>
          <w:rFonts w:cs="Arial Narrow" w:ascii="Arial Narrow" w:hAnsi="Arial Narrow"/>
          <w:sz w:val="18"/>
          <w:u w:val="single"/>
        </w:rPr>
        <w:t>Rating</w:t>
      </w:r>
      <w:r>
        <w:rPr>
          <w:rFonts w:cs="Arial Narrow" w:ascii="Arial Narrow" w:hAnsi="Arial Narrow"/>
          <w:sz w:val="18"/>
        </w:rPr>
        <w:tab/>
        <w:tab/>
      </w:r>
      <w:r>
        <w:rPr>
          <w:rFonts w:cs="Arial Narrow" w:ascii="Arial Narrow" w:hAnsi="Arial Narrow"/>
          <w:sz w:val="18"/>
          <w:u w:val="single"/>
        </w:rPr>
        <w:t>Collateral Threshold Amount</w:t>
      </w:r>
    </w:p>
    <w:p>
      <w:pPr>
        <w:pStyle w:val="Normal"/>
        <w:jc w:val="both"/>
        <w:rPr>
          <w:rFonts w:ascii="Arial Narrow" w:hAnsi="Arial Narrow" w:cs="Arial Narrow"/>
          <w:sz w:val="18"/>
        </w:rPr>
      </w:pPr>
      <w:r>
        <w:rPr>
          <w:rFonts w:cs="Arial Narrow" w:ascii="Arial Narrow" w:hAnsi="Arial Narrow"/>
          <w:sz w:val="18"/>
        </w:rPr>
        <w:tab/>
        <w:t>BBB- or above</w:t>
        <w:tab/>
        <w:t>non applicable</w:t>
      </w:r>
    </w:p>
    <w:p>
      <w:pPr>
        <w:pStyle w:val="Normal"/>
        <w:jc w:val="both"/>
        <w:rPr>
          <w:rFonts w:ascii="Arial Narrow" w:hAnsi="Arial Narrow" w:cs="Arial Narrow"/>
          <w:sz w:val="18"/>
        </w:rPr>
      </w:pPr>
      <w:r>
        <w:rPr>
          <w:rFonts w:cs="Arial Narrow" w:ascii="Arial Narrow" w:hAnsi="Arial Narrow"/>
          <w:sz w:val="18"/>
        </w:rPr>
        <w:tab/>
        <w:t>BB+</w:t>
        <w:tab/>
        <w:tab/>
        <w:t>$10,000,000</w:t>
      </w:r>
    </w:p>
    <w:p>
      <w:pPr>
        <w:pStyle w:val="Normal"/>
        <w:jc w:val="both"/>
        <w:rPr>
          <w:rFonts w:ascii="Arial Narrow" w:hAnsi="Arial Narrow" w:cs="Arial Narrow"/>
          <w:sz w:val="18"/>
        </w:rPr>
      </w:pPr>
      <w:r>
        <w:rPr>
          <w:rFonts w:cs="Arial Narrow" w:ascii="Arial Narrow" w:hAnsi="Arial Narrow"/>
          <w:sz w:val="18"/>
        </w:rPr>
        <w:tab/>
        <w:t>BB</w:t>
        <w:tab/>
        <w:tab/>
        <w:t>$5,000,000</w:t>
      </w:r>
    </w:p>
    <w:p>
      <w:pPr>
        <w:pStyle w:val="Normal"/>
        <w:jc w:val="both"/>
        <w:rPr>
          <w:rFonts w:ascii="Arial Narrow" w:hAnsi="Arial Narrow" w:cs="Arial Narrow"/>
          <w:sz w:val="18"/>
        </w:rPr>
      </w:pPr>
      <w:r>
        <w:rPr>
          <w:rFonts w:cs="Arial Narrow" w:ascii="Arial Narrow" w:hAnsi="Arial Narrow"/>
          <w:sz w:val="18"/>
        </w:rPr>
        <w:tab/>
        <w:t>BB- or below</w:t>
        <w:tab/>
        <w:t xml:space="preserve">$0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/mnt/main-storage/datasets/enron-docs/doc/2002_2003crfm-af4c375b02d4bc3fd812ceefe3cbef44ef2ff4fbb332d493abaa901c7b9b66ef.doc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/mnt/main-storage/datasets/enron-docs/doc/2002_2003crfm-af4c375b02d4bc3fd812ceefe3cbef44ef2ff4fbb332d493abaa901c7b9b66ef.doc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January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8634653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2001-01-22T16:10:00Z</dcterms:created>
  <dc:creator>Daniel J. Hyvl</dc:creator>
  <dc:description/>
  <dc:language>en-CA</dc:language>
  <cp:lastModifiedBy>kward</cp:lastModifiedBy>
  <cp:lastPrinted>2001-03-29T15:19:00Z</cp:lastPrinted>
  <dcterms:modified xsi:type="dcterms:W3CDTF">2001-05-23T18:50:00Z</dcterms:modified>
  <cp:revision>4</cp:revision>
  <dc:subject/>
  <dc:title>November 5, 1999</dc:title>
</cp:coreProperties>
</file>