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drawing>
          <wp:inline distT="0" distB="0" distL="0" distR="0">
            <wp:extent cx="984885"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84885" cy="987425"/>
                    </a:xfrm>
                    <a:prstGeom prst="rect">
                      <a:avLst/>
                    </a:prstGeom>
                    <a:noFill/>
                  </pic:spPr>
                </pic:pic>
              </a:graphicData>
            </a:graphic>
          </wp:inline>
        </w:drawing>
      </w:r>
    </w:p>
    <w:p>
      <w:pPr>
        <w:pStyle w:val="Heading"/>
        <w:jc w:val="end"/>
        <w:rPr>
          <w:sz w:val="28"/>
          <w:u w:val="single"/>
        </w:rPr>
      </w:pPr>
      <w:r>
        <w:rPr>
          <w:sz w:val="28"/>
          <w:u w:val="single"/>
        </w:rPr>
      </w:r>
    </w:p>
    <w:p>
      <w:pPr>
        <w:pStyle w:val="Heading"/>
        <w:jc w:val="end"/>
        <w:rPr>
          <w:sz w:val="28"/>
          <w:u w:val="single"/>
        </w:rPr>
      </w:pPr>
      <w:r>
        <w:rPr>
          <w:sz w:val="28"/>
          <w:u w:val="single"/>
        </w:rPr>
      </w:r>
    </w:p>
    <w:p>
      <w:pPr>
        <w:pStyle w:val="Heading"/>
        <w:rPr>
          <w:sz w:val="20"/>
        </w:rPr>
      </w:pPr>
      <w:r>
        <w:rPr>
          <w:sz w:val="20"/>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Ken Lay</w:t>
            </w:r>
          </w:p>
        </w:tc>
        <w:tc>
          <w:tcPr>
            <w:tcW w:w="990" w:type="dxa"/>
            <w:tcBorders/>
          </w:tcPr>
          <w:p>
            <w:pPr>
              <w:pStyle w:val="Normal"/>
              <w:snapToGrid w:val="false"/>
              <w:ind w:start="-180" w:end="0"/>
              <w:rPr/>
            </w:pPr>
            <w:r>
              <w:rPr/>
            </w:r>
          </w:p>
        </w:tc>
        <w:tc>
          <w:tcPr>
            <w:tcW w:w="2965" w:type="dxa"/>
            <w:tcBorders/>
          </w:tcPr>
          <w:p>
            <w:pPr>
              <w:pStyle w:val="Heading5"/>
              <w:snapToGrid w:val="false"/>
              <w:ind w:hanging="0" w:start="0"/>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6"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Steve Kean</w:t>
            </w:r>
          </w:p>
        </w:tc>
        <w:tc>
          <w:tcPr>
            <w:tcW w:w="990" w:type="dxa"/>
            <w:tcBorders/>
          </w:tcPr>
          <w:p>
            <w:pPr>
              <w:pStyle w:val="Normal"/>
              <w:snapToGrid w:val="false"/>
              <w:ind w:start="-180" w:end="0"/>
              <w:jc w:val="end"/>
              <w:rPr>
                <w:sz w:val="16"/>
              </w:rPr>
            </w:pPr>
            <w:r>
              <w:rPr>
                <w:sz w:val="16"/>
              </w:rPr>
            </w:r>
          </w:p>
        </w:tc>
        <w:tc>
          <w:tcPr>
            <w:tcW w:w="2965" w:type="dxa"/>
            <w:tcBorders/>
          </w:tcPr>
          <w:p>
            <w:pPr>
              <w:pStyle w:val="Department"/>
              <w:snapToGrid w:val="false"/>
              <w:rPr>
                <w:sz w:val="16"/>
              </w:rPr>
            </w:pPr>
            <w:r>
              <w:rPr>
                <w:sz w:val="16"/>
              </w:rPr>
            </w:r>
            <w:bookmarkStart w:id="0" w:name="From"/>
            <w:bookmarkStart w:id="1" w:name="From"/>
            <w:bookmarkEnd w:id="1"/>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Meeting with Bill Hogan</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April 3, 2001</w:t>
            </w:r>
          </w:p>
        </w:tc>
      </w:tr>
    </w:tbl>
    <w:p>
      <w:pPr>
        <w:pStyle w:val="Body"/>
        <w:jc w:val="both"/>
        <w:rPr/>
      </w:pPr>
      <w:r>
        <w:rPr/>
      </w:r>
      <w:bookmarkStart w:id="2" w:name="StartOfMemo"/>
      <w:bookmarkStart w:id="3" w:name="StartOfMemo"/>
      <w:bookmarkEnd w:id="3"/>
    </w:p>
    <w:p>
      <w:pPr>
        <w:pStyle w:val="Body"/>
        <w:spacing w:lineRule="auto" w:line="480"/>
        <w:jc w:val="both"/>
        <w:rPr/>
      </w:pPr>
      <w:r>
        <w:rPr>
          <w:b/>
          <w:bCs/>
          <w:u w:val="single"/>
        </w:rPr>
        <w:t>Suspected purpose of discussion</w:t>
      </w:r>
      <w:r>
        <w:rPr/>
        <w:t>:  Hogan seeks consensus on the “proper” structure of wholesale power markets.</w:t>
      </w:r>
    </w:p>
    <w:p>
      <w:pPr>
        <w:pStyle w:val="Body"/>
        <w:spacing w:lineRule="auto" w:line="480"/>
        <w:jc w:val="both"/>
        <w:rPr/>
      </w:pPr>
      <w:r>
        <w:rPr>
          <w:b/>
          <w:bCs/>
          <w:u w:val="single"/>
        </w:rPr>
        <w:t>Precipitating events</w:t>
      </w:r>
      <w:r>
        <w:rPr/>
        <w:t>:  The environment is ripe for pushing reforms to wholesale power markets.</w:t>
      </w:r>
    </w:p>
    <w:p>
      <w:pPr>
        <w:pStyle w:val="Body"/>
        <w:numPr>
          <w:ilvl w:val="0"/>
          <w:numId w:val="2"/>
        </w:numPr>
        <w:spacing w:lineRule="auto" w:line="480"/>
        <w:jc w:val="both"/>
        <w:rPr/>
      </w:pPr>
      <w:r>
        <w:rPr/>
        <w:t>California’s crisis has created a compelling need for state and federal action.</w:t>
      </w:r>
    </w:p>
    <w:p>
      <w:pPr>
        <w:pStyle w:val="Body"/>
        <w:numPr>
          <w:ilvl w:val="0"/>
          <w:numId w:val="2"/>
        </w:numPr>
        <w:spacing w:lineRule="auto" w:line="480"/>
        <w:jc w:val="both"/>
        <w:rPr/>
      </w:pPr>
      <w:r>
        <w:rPr/>
        <w:t>FERC is in the midst of implementing Order 2000 (its somewhat weak attempt to establish Regional Transmission Organizations across the U.S.)</w:t>
      </w:r>
    </w:p>
    <w:p>
      <w:pPr>
        <w:pStyle w:val="Body"/>
        <w:numPr>
          <w:ilvl w:val="0"/>
          <w:numId w:val="2"/>
        </w:numPr>
        <w:spacing w:lineRule="auto" w:line="480"/>
        <w:jc w:val="both"/>
        <w:rPr/>
      </w:pPr>
      <w:r>
        <w:rPr/>
        <w:t>Enron has shown some flexibility on market structure issues because (1) we are not going to get a pure free market system in most places and (2) we need some basic things now (</w:t>
      </w:r>
      <w:r>
        <w:rPr>
          <w:u w:val="single"/>
        </w:rPr>
        <w:t>e.g.</w:t>
      </w:r>
      <w:r>
        <w:rPr/>
        <w:t xml:space="preserve"> a spot market structure) in order to transact.</w:t>
      </w:r>
      <w:r>
        <w:rPr>
          <w:rStyle w:val="FootnoteCharacters"/>
          <w:rStyle w:val="FootnoteReference"/>
        </w:rPr>
        <w:footnoteReference w:customMarkFollows="1" w:id="2"/>
        <w:t>*</w:t>
      </w:r>
    </w:p>
    <w:p>
      <w:pPr>
        <w:pStyle w:val="Body"/>
        <w:spacing w:lineRule="auto" w:line="480"/>
        <w:jc w:val="both"/>
        <w:rPr/>
      </w:pPr>
      <w:r>
        <w:rPr/>
        <w:t>All of these things are probably raising, in Hogan’s mind, the possibility for some negotiation, compromise and joint effort between Enron and Hogan.</w:t>
      </w:r>
    </w:p>
    <w:p>
      <w:pPr>
        <w:pStyle w:val="Body"/>
        <w:spacing w:lineRule="auto" w:line="480"/>
        <w:jc w:val="both"/>
        <w:rPr/>
      </w:pPr>
      <w:r>
        <w:rPr/>
      </w:r>
    </w:p>
    <w:p>
      <w:pPr>
        <w:pStyle w:val="Body"/>
        <w:spacing w:lineRule="auto" w:line="480"/>
        <w:jc w:val="both"/>
        <w:rPr/>
      </w:pPr>
      <w:r>
        <w:rPr>
          <w:b/>
          <w:bCs/>
          <w:u w:val="single"/>
        </w:rPr>
        <w:t>Conclusion and recommendation</w:t>
      </w:r>
      <w:r>
        <w:rPr/>
        <w:t>:  Enron is not changing its position on market structure issues.  Anything we advocate in the context of a specific case will be just that:  context specific.  For example, if we find it necessary to agree to elements of the PJM system in order to extend open markets to New York (</w:t>
      </w:r>
      <w:r>
        <w:rPr>
          <w:u w:val="single"/>
        </w:rPr>
        <w:t>i.e.</w:t>
      </w:r>
      <w:r>
        <w:rPr/>
        <w:t xml:space="preserve"> to replace the dysfunctional New York ISO) it will be because PJM, </w:t>
      </w:r>
      <w:r>
        <w:rPr>
          <w:u w:val="single"/>
        </w:rPr>
        <w:t>in</w:t>
      </w:r>
      <w:r>
        <w:rPr/>
        <w:t xml:space="preserve"> </w:t>
      </w:r>
      <w:r>
        <w:rPr>
          <w:u w:val="single"/>
        </w:rPr>
        <w:t>that</w:t>
      </w:r>
      <w:r>
        <w:rPr/>
        <w:t xml:space="preserve"> </w:t>
      </w:r>
      <w:r>
        <w:rPr>
          <w:u w:val="single"/>
        </w:rPr>
        <w:t>context</w:t>
      </w:r>
      <w:r>
        <w:rPr/>
        <w:t>, is better than the alternative, not because we have changed our view on the long term right answer.</w:t>
      </w:r>
      <w:r>
        <w:br w:type="page"/>
      </w:r>
    </w:p>
    <w:p>
      <w:pPr>
        <w:pStyle w:val="Body"/>
        <w:spacing w:lineRule="auto" w:line="480"/>
        <w:jc w:val="both"/>
        <w:rPr/>
      </w:pPr>
      <w:r>
        <w:rPr/>
        <w:t>There is nothing to be gained by agreeing with Hogan on any aspect of his central dispatch, Location</w:t>
        <w:noBreakHyphen/>
        <w:t>based Marginal Price (LMP), model.  He will use any compromise as evidence that his market model is the “right” one, not to advance progress toward a better, more open system.  (Like many academics, he is more focussed on winning the intellectual argument than on making real progress).</w:t>
      </w:r>
    </w:p>
    <w:p>
      <w:pPr>
        <w:pStyle w:val="Body"/>
        <w:spacing w:lineRule="auto" w:line="480"/>
        <w:jc w:val="both"/>
        <w:rPr/>
      </w:pPr>
      <w:r>
        <w:rPr/>
      </w:r>
    </w:p>
    <w:p>
      <w:pPr>
        <w:pStyle w:val="Body"/>
        <w:spacing w:lineRule="auto" w:line="480"/>
        <w:jc w:val="both"/>
        <w:rPr/>
      </w:pPr>
      <w:r>
        <w:rPr/>
        <w:t>If Hogan is willing to leave the fine points of his LMP model out of the discussion, it would be worthwhile to discuss other, broader themes that we can agree with him on:</w:t>
      </w:r>
    </w:p>
    <w:p>
      <w:pPr>
        <w:pStyle w:val="Body"/>
        <w:numPr>
          <w:ilvl w:val="0"/>
          <w:numId w:val="6"/>
        </w:numPr>
        <w:spacing w:lineRule="auto" w:line="480"/>
        <w:jc w:val="both"/>
        <w:rPr/>
      </w:pPr>
      <w:r>
        <w:rPr/>
        <w:t>Competition and open access should be the core elements of U.S. energy policy.</w:t>
      </w:r>
    </w:p>
    <w:p>
      <w:pPr>
        <w:pStyle w:val="Body"/>
        <w:numPr>
          <w:ilvl w:val="0"/>
          <w:numId w:val="6"/>
        </w:numPr>
        <w:spacing w:lineRule="auto" w:line="480"/>
        <w:jc w:val="both"/>
        <w:rPr/>
      </w:pPr>
      <w:r>
        <w:rPr/>
        <w:t>RTOs should be mandatory.</w:t>
      </w:r>
    </w:p>
    <w:p>
      <w:pPr>
        <w:pStyle w:val="Body"/>
        <w:numPr>
          <w:ilvl w:val="0"/>
          <w:numId w:val="6"/>
        </w:numPr>
        <w:spacing w:lineRule="auto" w:line="480"/>
        <w:jc w:val="both"/>
        <w:rPr/>
      </w:pPr>
      <w:r>
        <w:rPr/>
        <w:t>The primary problem in many US power markets, is market power.  No matter whose market model you use, nothing works if two or three generators dominate the market.  We should join forces to call for further divestiture of utility generation.</w:t>
      </w:r>
    </w:p>
    <w:p>
      <w:pPr>
        <w:pStyle w:val="Body"/>
        <w:spacing w:lineRule="auto" w:line="480"/>
        <w:ind w:start="720" w:end="0"/>
        <w:jc w:val="both"/>
        <w:rPr/>
      </w:pPr>
      <w:r>
        <w:rPr/>
      </w:r>
    </w:p>
    <w:p>
      <w:pPr>
        <w:pStyle w:val="Body"/>
        <w:spacing w:lineRule="auto" w:line="480"/>
        <w:ind w:start="0" w:end="0"/>
        <w:jc w:val="both"/>
        <w:rPr/>
      </w:pPr>
      <w:r>
        <w:rPr/>
        <w:t>Unfortunately, while Hogan agrees with us on these broad issues, my view is that he will still focus his work and advocacy on advancing the finer points of his pet LMP model.</w:t>
      </w:r>
    </w:p>
    <w:p>
      <w:pPr>
        <w:pStyle w:val="Body"/>
        <w:spacing w:lineRule="auto" w:line="480"/>
        <w:ind w:start="0" w:end="0"/>
        <w:jc w:val="both"/>
        <w:rPr/>
      </w:pPr>
      <w:r>
        <w:rPr/>
      </w:r>
    </w:p>
    <w:p>
      <w:pPr>
        <w:pStyle w:val="Body"/>
        <w:spacing w:lineRule="auto" w:line="480"/>
        <w:ind w:start="0" w:end="0"/>
        <w:jc w:val="both"/>
        <w:rPr/>
      </w:pPr>
      <w:r>
        <w:rPr/>
        <w:t xml:space="preserve">Hogan will argue, as always, that we agree with him, but we just don’t know it.  His view is that anything we want to do can be done within the confines of his model.  He may be right . . . </w:t>
      </w:r>
      <w:r>
        <w:rPr>
          <w:u w:val="single"/>
        </w:rPr>
        <w:t>in</w:t>
      </w:r>
      <w:r>
        <w:rPr/>
        <w:t xml:space="preserve"> </w:t>
      </w:r>
      <w:r>
        <w:rPr>
          <w:u w:val="single"/>
        </w:rPr>
        <w:t>theory</w:t>
      </w:r>
      <w:r>
        <w:rPr/>
        <w:t xml:space="preserve"> (just as, in theory, a financial transaction can substitute for a physical commodity transaction).  As much as anything, what separates us is a difference in approach:</w:t>
      </w:r>
    </w:p>
    <w:p>
      <w:pPr>
        <w:pStyle w:val="Body"/>
        <w:numPr>
          <w:ilvl w:val="0"/>
          <w:numId w:val="4"/>
        </w:numPr>
        <w:spacing w:lineRule="auto" w:line="480"/>
        <w:jc w:val="both"/>
        <w:rPr/>
      </w:pPr>
      <w:r>
        <w:rPr/>
        <w:t xml:space="preserve">Hogan approaches the problem as a problem of market </w:t>
      </w:r>
      <w:r>
        <w:rPr>
          <w:u w:val="single"/>
        </w:rPr>
        <w:t>design</w:t>
      </w:r>
      <w:r>
        <w:rPr/>
        <w:t>:  he believes that one can build a program that will optimally match resources and loads.</w:t>
      </w:r>
    </w:p>
    <w:p>
      <w:pPr>
        <w:pStyle w:val="Body"/>
        <w:numPr>
          <w:ilvl w:val="0"/>
          <w:numId w:val="4"/>
        </w:numPr>
        <w:spacing w:lineRule="auto" w:line="480"/>
        <w:jc w:val="both"/>
        <w:rPr/>
      </w:pPr>
      <w:r>
        <w:rPr/>
        <w:t>We approach the problem as a problem of monopoly:  there is a natural monopoly; access to it should be forcefully regulated; everything else (including spot market formation) should be left to market participants.</w:t>
      </w:r>
    </w:p>
    <w:p>
      <w:pPr>
        <w:pStyle w:val="Body"/>
        <w:spacing w:lineRule="auto" w:line="480"/>
        <w:ind w:start="720" w:end="0"/>
        <w:jc w:val="both"/>
        <w:rPr/>
      </w:pPr>
      <w:r>
        <w:rPr/>
      </w:r>
    </w:p>
    <w:p>
      <w:pPr>
        <w:pStyle w:val="Body"/>
        <w:spacing w:lineRule="auto" w:line="480"/>
        <w:ind w:start="0" w:end="0"/>
        <w:jc w:val="both"/>
        <w:rPr/>
      </w:pPr>
      <w:r>
        <w:rPr>
          <w:u w:val="single"/>
        </w:rPr>
        <w:t>Theoretically</w:t>
      </w:r>
      <w:r>
        <w:rPr/>
        <w:t xml:space="preserve"> we may end up with the same answer on certain issues, but we get there in a way that reserves to market participants the prerogative to form the spot physical product.</w:t>
      </w:r>
    </w:p>
    <w:p>
      <w:pPr>
        <w:pStyle w:val="Body"/>
        <w:spacing w:lineRule="auto" w:line="480"/>
        <w:ind w:start="0" w:end="0"/>
        <w:jc w:val="both"/>
        <w:rPr/>
      </w:pPr>
      <w:r>
        <w:rPr/>
      </w:r>
    </w:p>
    <w:p>
      <w:pPr>
        <w:pStyle w:val="Body"/>
        <w:spacing w:lineRule="auto" w:line="480"/>
        <w:ind w:start="0" w:end="0"/>
        <w:jc w:val="both"/>
        <w:rPr/>
      </w:pPr>
      <w:r>
        <w:rPr/>
        <w:t>Two further points on the market model debate:</w:t>
      </w:r>
    </w:p>
    <w:p>
      <w:pPr>
        <w:pStyle w:val="Body"/>
        <w:numPr>
          <w:ilvl w:val="0"/>
          <w:numId w:val="3"/>
        </w:numPr>
        <w:spacing w:lineRule="auto" w:line="480"/>
        <w:jc w:val="both"/>
        <w:rPr/>
      </w:pPr>
      <w:r>
        <w:rPr/>
        <w:t>Given all of the other issues that need to be addressed, the debate over precise market models - - neither of which will become reality in their pure form - - seems pointless.</w:t>
      </w:r>
    </w:p>
    <w:p>
      <w:pPr>
        <w:pStyle w:val="Body"/>
        <w:numPr>
          <w:ilvl w:val="0"/>
          <w:numId w:val="3"/>
        </w:numPr>
        <w:spacing w:lineRule="auto" w:line="480"/>
        <w:jc w:val="both"/>
        <w:rPr/>
      </w:pPr>
      <w:r>
        <w:rPr/>
        <w:t xml:space="preserve">To some extent (and I am not sure Jeff would agree with me on this . . . I haven’t had a chance to discuss it with him) the perfect model we advocate does not fit with the current market environment nor with Enron’s </w:t>
      </w:r>
      <w:r>
        <w:rPr>
          <w:u w:val="single"/>
        </w:rPr>
        <w:t>near</w:t>
      </w:r>
      <w:r>
        <w:rPr/>
        <w:t xml:space="preserve"> </w:t>
      </w:r>
      <w:r>
        <w:rPr>
          <w:u w:val="single"/>
        </w:rPr>
        <w:t>term</w:t>
      </w:r>
      <w:r>
        <w:rPr/>
        <w:t xml:space="preserve"> objectives:</w:t>
      </w:r>
    </w:p>
    <w:p>
      <w:pPr>
        <w:pStyle w:val="Body"/>
        <w:numPr>
          <w:ilvl w:val="1"/>
          <w:numId w:val="5"/>
        </w:numPr>
        <w:spacing w:lineRule="auto" w:line="480" w:before="240" w:after="0"/>
        <w:jc w:val="both"/>
        <w:rPr/>
      </w:pPr>
      <w:r>
        <w:rPr/>
        <w:t>We would like a market with numerous buyers and sellers, like gas - - thousands of production facilities and thousands/millions of buyers.  In power, numerous buyers and sellers are even more important because packaging useful products for customers requires liquidity in numerous products - - more products than gas.  However, it doesn’t exist today.  Power markets are regional because of limits on the distances over which one can transmit power.  Within these regional markets, generation is dominated by large, central stations with individual stations potentially having a dramatic impact on transmission availability and power pricing.  Consequently, in the interim, we have to advocate (1) more information sharing by generators, (2) a slightly larger role for the system operator in making such information available, and (3) </w:t>
      </w:r>
      <w:r>
        <w:rPr>
          <w:u w:val="single"/>
        </w:rPr>
        <w:t>sometimes</w:t>
      </w:r>
      <w:r>
        <w:rPr/>
        <w:t>, a centralized market to force some liquidity for the products we need to do business.  As distributed generation becomes more widely deployed and more customers get the right to choose we will have a better opportunity to deploy the ideal market structure.  In the meantime, we advocate interim solutions (hopefully with sunset dates) to enable us to do business.</w:t>
      </w:r>
    </w:p>
    <w:p>
      <w:pPr>
        <w:pStyle w:val="Body"/>
        <w:numPr>
          <w:ilvl w:val="1"/>
          <w:numId w:val="5"/>
        </w:numPr>
        <w:spacing w:lineRule="auto" w:line="480" w:before="240" w:after="0"/>
        <w:jc w:val="both"/>
        <w:rPr/>
      </w:pPr>
      <w:r>
        <w:rPr/>
        <w:t>Some markets, like PJM, give us much of what we need, even though they are far from ideal.  New York and New England are very poorly constructed.  There is no question that Enron would be dramatically better off, both in EES and EWS, if the entire Northeast were a single market under the PJM umbrella.  So, it makes sense to advocate that view, while highlighting our concerns with PJM and pushing for concessions.</w:t>
      </w:r>
    </w:p>
    <w:p>
      <w:pPr>
        <w:pStyle w:val="Body"/>
        <w:spacing w:lineRule="auto" w:line="480" w:before="240" w:after="0"/>
        <w:ind w:start="0" w:end="0"/>
        <w:jc w:val="both"/>
        <w:rPr/>
      </w:pPr>
      <w:r>
        <w:rPr/>
        <w:t>Obviously, I have just scratched the surface of these arguments, but hopefully you have a flavor for how we are handling these issues now that we are no longer making high level policy arguments (</w:t>
      </w:r>
      <w:r>
        <w:rPr>
          <w:u w:val="single"/>
        </w:rPr>
        <w:t>e.g.</w:t>
      </w:r>
      <w:r>
        <w:rPr/>
        <w:t xml:space="preserve"> “competition is good” but Instead find ourselves in the trenches of the implementation battles.</w:t>
      </w:r>
    </w:p>
    <w:p>
      <w:pPr>
        <w:pStyle w:val="Body"/>
        <w:spacing w:lineRule="auto" w:line="480" w:before="240" w:after="0"/>
        <w:ind w:start="0" w:end="0"/>
        <w:jc w:val="both"/>
        <w:rPr/>
      </w:pPr>
      <w:r>
        <w:rPr/>
        <w:t>Let me know how it goes.</w:t>
      </w:r>
    </w:p>
    <w:p>
      <w:pPr>
        <w:pStyle w:val="Body"/>
        <w:ind w:start="0" w:end="0"/>
        <w:jc w:val="both"/>
        <w:rPr/>
      </w:pPr>
      <w:r>
        <w:rPr/>
        <w:t>cc:</w:t>
        <w:tab/>
        <w:t>Rick Shapiro</w:t>
      </w:r>
    </w:p>
    <w:p>
      <w:pPr>
        <w:pStyle w:val="Body"/>
        <w:ind w:start="0" w:end="0"/>
        <w:jc w:val="both"/>
        <w:rPr/>
      </w:pPr>
      <w:r>
        <w:rPr/>
        <w:tab/>
        <w:t>Jim Steffes</w:t>
      </w:r>
    </w:p>
    <w:sectPr>
      <w:headerReference w:type="default" r:id="rId3"/>
      <w:headerReference w:type="first" r:id="rId4"/>
      <w:footerReference w:type="default" r:id="rId5"/>
      <w:footerReference w:type="first" r:id="rId6"/>
      <w:footnotePr>
        <w:numFmt w:val="decimal"/>
      </w:footnotePr>
      <w:type w:val="nextPage"/>
      <w:pgSz w:w="12240" w:h="15840"/>
      <w:pgMar w:left="1008" w:right="1008" w:gutter="0" w:header="720" w:top="776" w:footer="432"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t>*</w:t>
      </w:r>
      <w:r>
        <w:rPr/>
        <w:t xml:space="preserve"> </w:t>
      </w:r>
      <w:r>
        <w:rPr/>
        <w:t>Because of concerns about utility generation dominance in Texas markets, we filed a pleading (later withdrawn) which advocated a balancing and spot market to be run by the ISO.  Our concern was that unless there is some mechanism to force the generators to bid, we will not have the ability to take and liquidate positions.  Without this basic ability, we will do very little business in Texas.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Heading1"/>
                            <w:rPr/>
                          </w:pPr>
                          <w:r>
                            <w:rPr/>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Heading1"/>
                      <w:rPr/>
                    </w:pPr>
                    <w:r>
                      <w:rPr/>
                    </w:r>
                  </w:p>
                </w:txbxContent>
              </v:textbox>
              <w10:wrap type="square"/>
            </v:rect>
          </w:pict>
        </mc:Fallback>
      </mc:AlternateContent>
    </w:r>
  </w:p>
  <w:p>
    <w:pPr>
      <w:pStyle w:val="Heading1"/>
      <w:rPr/>
    </w:pPr>
    <w:r>
      <w:rPr/>
    </w:r>
    <w:r>
      <mc:AlternateContent>
        <mc:Choice Requires="wps">
          <w:drawing>
            <wp:anchor behindDoc="0" distT="0" distB="0" distL="118745" distR="118745" simplePos="0" locked="0" layoutInCell="0" allowOverlap="1" relativeHeight="4">
              <wp:simplePos x="0" y="0"/>
              <wp:positionH relativeFrom="page">
                <wp:posOffset>2556510</wp:posOffset>
              </wp:positionH>
              <wp:positionV relativeFrom="paragraph">
                <wp:posOffset>-361315</wp:posOffset>
              </wp:positionV>
              <wp:extent cx="3877310" cy="939800"/>
              <wp:effectExtent l="0" t="0" r="0" b="0"/>
              <wp:wrapSquare wrapText="bothSides"/>
              <wp:docPr id="3" name="Frame2"/>
              <a:graphic xmlns:a="http://schemas.openxmlformats.org/drawingml/2006/main">
                <a:graphicData uri="http://schemas.microsoft.com/office/word/2010/wordprocessingShape">
                  <wps:wsp>
                    <wps:cNvSpPr txBox="1"/>
                    <wps:spPr>
                      <a:xfrm>
                        <a:off x="0" y="0"/>
                        <a:ext cx="3877310" cy="939800"/>
                      </a:xfrm>
                      <a:prstGeom prst="rect"/>
                      <a:solidFill>
                        <a:srgbClr val="FFFFFF">
                          <a:alpha val="0"/>
                        </a:srgbClr>
                      </a:solidFill>
                    </wps:spPr>
                    <wps:txbx>
                      <w:txbxContent>
                        <w:p>
                          <w:pPr>
                            <w:pStyle w:val="Heading1"/>
                            <w:rPr/>
                          </w:pPr>
                          <w:r>
                            <w:rPr/>
                          </w:r>
                        </w:p>
                        <w:p>
                          <w:pPr>
                            <w:pStyle w:val="Heading1"/>
                            <w:rPr/>
                          </w:pPr>
                          <w:r>
                            <w:rPr/>
                          </w:r>
                        </w:p>
                        <w:p>
                          <w:pPr>
                            <w:pStyle w:val="Heading1"/>
                            <w:rPr/>
                          </w:pPr>
                          <w:r>
                            <w:rPr/>
                            <w:t>Interoffice</w:t>
                          </w:r>
                          <w:r>
                            <w:rPr>
                              <w:b/>
                              <w:sz w:val="32"/>
                            </w:rPr>
                            <w:t>Memorandum</w:t>
                          </w:r>
                        </w:p>
                      </w:txbxContent>
                    </wps:txbx>
                    <wps:bodyPr anchor="t" lIns="0" tIns="0" rIns="0" bIns="0">
                      <a:noAutofit/>
                    </wps:bodyPr>
                  </wps:wsp>
                </a:graphicData>
              </a:graphic>
            </wp:anchor>
          </w:drawing>
        </mc:Choice>
        <mc:Fallback>
          <w:pict>
            <v:rect fillcolor="#FFFFFF" style="position:absolute;rotation:-0;width:305.3pt;height:74pt;mso-wrap-distance-left:9.35pt;mso-wrap-distance-right:9.35pt;mso-wrap-distance-top:0pt;mso-wrap-distance-bottom:0pt;margin-top:-28.45pt;mso-position-vertical-relative:text;margin-left:201.3pt;mso-position-horizontal-relative:page">
              <v:fill opacity="0f"/>
              <v:textbox inset="0in,0in,0in,0in">
                <w:txbxContent>
                  <w:p>
                    <w:pPr>
                      <w:pStyle w:val="Heading1"/>
                      <w:rPr/>
                    </w:pPr>
                    <w:r>
                      <w:rPr/>
                    </w:r>
                  </w:p>
                  <w:p>
                    <w:pPr>
                      <w:pStyle w:val="Heading1"/>
                      <w:rPr/>
                    </w:pPr>
                    <w:r>
                      <w:rPr/>
                    </w:r>
                  </w:p>
                  <w:p>
                    <w:pPr>
                      <w:pStyle w:val="Heading1"/>
                      <w:rPr/>
                    </w:pPr>
                    <w:r>
                      <w:rPr/>
                      <w:t>Interoffice</w:t>
                    </w:r>
                    <w:r>
                      <w:rPr>
                        <w:b/>
                        <w:sz w:val="32"/>
                      </w:rPr>
                      <w:t>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936"/>
        </w:tabs>
        <w:ind w:start="936" w:hanging="432"/>
      </w:pPr>
      <w:rPr>
        <w:rFonts w:ascii="Symbol" w:hAnsi="Symbol" w:cs="Symbol" w:hint="default"/>
        <w:color w:val="000000"/>
      </w:rPr>
    </w:lvl>
  </w:abstractNum>
  <w:abstractNum w:abstractNumId="3">
    <w:lvl w:ilvl="0">
      <w:start w:val="1"/>
      <w:numFmt w:val="bullet"/>
      <w:lvlText w:val=""/>
      <w:lvlJc w:val="start"/>
      <w:pPr>
        <w:tabs>
          <w:tab w:val="num" w:pos="1152"/>
        </w:tabs>
        <w:ind w:start="1152" w:hanging="432"/>
      </w:pPr>
      <w:rPr>
        <w:rFonts w:ascii="Symbol" w:hAnsi="Symbol" w:cs="Symbol" w:hint="default"/>
        <w:color w:val="000000"/>
      </w:rPr>
    </w:lvl>
  </w:abstractNum>
  <w:abstractNum w:abstractNumId="4">
    <w:lvl w:ilvl="0">
      <w:start w:val="1"/>
      <w:numFmt w:val="bullet"/>
      <w:lvlText w:val=""/>
      <w:lvlJc w:val="start"/>
      <w:pPr>
        <w:tabs>
          <w:tab w:val="num" w:pos="1152"/>
        </w:tabs>
        <w:ind w:start="1152" w:hanging="432"/>
      </w:pPr>
      <w:rPr>
        <w:rFonts w:ascii="Symbol" w:hAnsi="Symbol" w:cs="Symbol" w:hint="default"/>
        <w:color w:val="000000"/>
      </w:rPr>
    </w:lvl>
  </w:abstractNum>
  <w:abstractNum w:abstractNumId="5">
    <w:lvl w:ilvl="0">
      <w:start w:val="1"/>
      <w:numFmt w:val="bullet"/>
      <w:lvlText w:val=""/>
      <w:lvlJc w:val="start"/>
      <w:pPr>
        <w:tabs>
          <w:tab w:val="num" w:pos="1152"/>
        </w:tabs>
        <w:ind w:start="1152" w:hanging="432"/>
      </w:pPr>
      <w:rPr>
        <w:rFonts w:ascii="Symbol" w:hAnsi="Symbol" w:cs="Symbol" w:hint="default"/>
        <w:color w:val="000000"/>
      </w:rPr>
    </w:lvl>
    <w:lvl w:ilvl="1">
      <w:start w:val="1"/>
      <w:numFmt w:val="bullet"/>
      <w:lvlText w:val=""/>
      <w:lvlJc w:val="start"/>
      <w:pPr>
        <w:tabs>
          <w:tab w:val="num" w:pos="2160"/>
        </w:tabs>
        <w:ind w:start="2160" w:hanging="360"/>
      </w:pPr>
      <w:rPr>
        <w:rFonts w:ascii="Symbol" w:hAnsi="Symbol" w:cs="Symbol" w:hint="default"/>
      </w:rPr>
    </w:lvl>
    <w:lvl w:ilvl="2">
      <w:start w:val="1"/>
      <w:numFmt w:val="bullet"/>
      <w:lvlText w:val=""/>
      <w:lvlJc w:val="start"/>
      <w:pPr>
        <w:tabs>
          <w:tab w:val="num" w:pos="2880"/>
        </w:tabs>
        <w:ind w:start="2880" w:hanging="360"/>
      </w:pPr>
      <w:rPr>
        <w:rFonts w:ascii="Wingdings" w:hAnsi="Wingdings" w:cs="Wingdings" w:hint="default"/>
      </w:rPr>
    </w:lvl>
    <w:lvl w:ilvl="3">
      <w:start w:val="1"/>
      <w:numFmt w:val="bullet"/>
      <w:lvlText w:val=""/>
      <w:lvlJc w:val="start"/>
      <w:pPr>
        <w:tabs>
          <w:tab w:val="num" w:pos="3600"/>
        </w:tabs>
        <w:ind w:start="3600" w:hanging="360"/>
      </w:pPr>
      <w:rPr>
        <w:rFonts w:ascii="Symbol" w:hAnsi="Symbol" w:cs="Symbol" w:hint="default"/>
      </w:rPr>
    </w:lvl>
    <w:lvl w:ilvl="4">
      <w:start w:val="1"/>
      <w:numFmt w:val="bullet"/>
      <w:lvlText w:val="o"/>
      <w:lvlJc w:val="start"/>
      <w:pPr>
        <w:tabs>
          <w:tab w:val="num" w:pos="4320"/>
        </w:tabs>
        <w:ind w:start="4320" w:hanging="360"/>
      </w:pPr>
      <w:rPr>
        <w:rFonts w:ascii="Courier New" w:hAnsi="Courier New" w:cs="Courier New" w:hint="default"/>
      </w:rPr>
    </w:lvl>
    <w:lvl w:ilvl="5">
      <w:start w:val="1"/>
      <w:numFmt w:val="bullet"/>
      <w:lvlText w:val=""/>
      <w:lvlJc w:val="start"/>
      <w:pPr>
        <w:tabs>
          <w:tab w:val="num" w:pos="5040"/>
        </w:tabs>
        <w:ind w:start="5040" w:hanging="360"/>
      </w:pPr>
      <w:rPr>
        <w:rFonts w:ascii="Wingdings" w:hAnsi="Wingdings" w:cs="Wingdings" w:hint="default"/>
      </w:rPr>
    </w:lvl>
    <w:lvl w:ilvl="6">
      <w:start w:val="1"/>
      <w:numFmt w:val="bullet"/>
      <w:lvlText w:val=""/>
      <w:lvlJc w:val="start"/>
      <w:pPr>
        <w:tabs>
          <w:tab w:val="num" w:pos="5760"/>
        </w:tabs>
        <w:ind w:start="5760" w:hanging="360"/>
      </w:pPr>
      <w:rPr>
        <w:rFonts w:ascii="Symbol" w:hAnsi="Symbol" w:cs="Symbol" w:hint="default"/>
      </w:rPr>
    </w:lvl>
    <w:lvl w:ilvl="7">
      <w:start w:val="1"/>
      <w:numFmt w:val="bullet"/>
      <w:lvlText w:val="o"/>
      <w:lvlJc w:val="start"/>
      <w:pPr>
        <w:tabs>
          <w:tab w:val="num" w:pos="6480"/>
        </w:tabs>
        <w:ind w:start="6480" w:hanging="360"/>
      </w:pPr>
      <w:rPr>
        <w:rFonts w:ascii="Courier New" w:hAnsi="Courier New" w:cs="Courier New" w:hint="default"/>
      </w:rPr>
    </w:lvl>
    <w:lvl w:ilvl="8">
      <w:start w:val="1"/>
      <w:numFmt w:val="bullet"/>
      <w:lvlText w:val=""/>
      <w:lvlJc w:val="start"/>
      <w:pPr>
        <w:tabs>
          <w:tab w:val="num" w:pos="7200"/>
        </w:tabs>
        <w:ind w:start="7200" w:hanging="360"/>
      </w:pPr>
      <w:rPr>
        <w:rFonts w:ascii="Wingdings" w:hAnsi="Wingdings" w:cs="Wingdings" w:hint="default"/>
      </w:rPr>
    </w:lvl>
  </w:abstractNum>
  <w:abstractNum w:abstractNumId="6">
    <w:lvl w:ilvl="0">
      <w:start w:val="1"/>
      <w:numFmt w:val="bullet"/>
      <w:lvlText w:val=""/>
      <w:lvlJc w:val="start"/>
      <w:pPr>
        <w:tabs>
          <w:tab w:val="num" w:pos="1152"/>
        </w:tabs>
        <w:ind w:start="1152" w:hanging="432"/>
      </w:pPr>
      <w:rPr>
        <w:rFonts w:ascii="Symbol" w:hAnsi="Symbol" w:cs="Symbol" w:hint="default"/>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10"/>
  <w:revisionView w:insDel="0" w:formatting="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ind w:hanging="0" w:start="3600" w:end="0"/>
      <w:outlineLvl w:val="0"/>
    </w:pPr>
    <w:rPr>
      <w:b/>
      <w:sz w:val="32"/>
    </w:rPr>
  </w:style>
  <w:style w:type="paragraph" w:styleId="Heading2">
    <w:name w:val="heading 2"/>
    <w:basedOn w:val="Normal"/>
    <w:next w:val="Normal"/>
    <w:qFormat/>
    <w:pPr>
      <w:keepNext w:val="true"/>
      <w:numPr>
        <w:ilvl w:val="1"/>
        <w:numId w:val="1"/>
      </w:numPr>
      <w:tabs>
        <w:tab w:val="clear" w:pos="540"/>
      </w:tabs>
      <w:jc w:val="center"/>
      <w:outlineLvl w:val="1"/>
    </w:pPr>
    <w:rPr>
      <w:rFonts w:ascii="Times New Roman" w:hAnsi="Times New Roman" w:cs="Times New Roman"/>
      <w:b/>
      <w:color w:val="000000"/>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jc w:val="both"/>
      <w:outlineLvl w:val="3"/>
    </w:pPr>
    <w:rPr>
      <w:rFonts w:ascii="Times New Roman" w:hAnsi="Times New Roman" w:cs="Times New Roman"/>
      <w:b/>
      <w:u w:val="single"/>
    </w:rPr>
  </w:style>
  <w:style w:type="paragraph" w:styleId="Heading5">
    <w:name w:val="heading 5"/>
    <w:basedOn w:val="Normal"/>
    <w:next w:val="Normal"/>
    <w:qFormat/>
    <w:pPr>
      <w:keepNext w:val="true"/>
      <w:numPr>
        <w:ilvl w:val="4"/>
        <w:numId w:val="1"/>
      </w:numPr>
      <w:outlineLvl w:val="4"/>
    </w:pPr>
    <w:rPr>
      <w:b/>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Symbol" w:hAnsi="Symbol" w:cs="Symbol"/>
      <w:color w:val="00000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color w:val="000000"/>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Times New Roman" w:hAnsi="Times New Roman" w:cs="Times New Roman"/>
    </w:rPr>
  </w:style>
  <w:style w:type="character" w:styleId="WW8Num8z0">
    <w:name w:val="WW8Num8z0"/>
    <w:qFormat/>
    <w:rPr>
      <w:rFonts w:ascii="Symbol" w:hAnsi="Symbol" w:cs="Symbol"/>
      <w:color w:val="000000"/>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color w:val="000000"/>
    </w:rPr>
  </w:style>
  <w:style w:type="character" w:styleId="WW8Num9z1">
    <w:name w:val="WW8Num9z1"/>
    <w:qFormat/>
    <w:rPr>
      <w:rFonts w:ascii="Symbol" w:hAnsi="Symbol" w:cs="Symbol"/>
    </w:rPr>
  </w:style>
  <w:style w:type="character" w:styleId="WW8Num9z2">
    <w:name w:val="WW8Num9z2"/>
    <w:qFormat/>
    <w:rPr>
      <w:rFonts w:ascii="Wingdings" w:hAnsi="Wingdings" w:cs="Wingdings"/>
    </w:rPr>
  </w:style>
  <w:style w:type="character" w:styleId="WW8Num9z4">
    <w:name w:val="WW8Num9z4"/>
    <w:qFormat/>
    <w:rPr>
      <w:rFonts w:ascii="Courier New" w:hAnsi="Courier New" w:cs="Courier New"/>
    </w:rPr>
  </w:style>
  <w:style w:type="character" w:styleId="WW8Num10z0">
    <w:name w:val="WW8Num10z0"/>
    <w:qFormat/>
    <w:rPr>
      <w:rFonts w:ascii="Symbol" w:hAnsi="Symbol" w:cs="Symbol"/>
    </w:rPr>
  </w:style>
  <w:style w:type="character" w:styleId="WW8Num11z0">
    <w:name w:val="WW8Num11z0"/>
    <w:qFormat/>
    <w:rPr>
      <w:rFonts w:ascii="Symbol" w:hAnsi="Symbol" w:cs="Symbol"/>
      <w:color w:val="000000"/>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Times New Roman" w:hAnsi="Times New Roman" w:cs="Times New Roman"/>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EndnoteCharacters">
    <w:name w:val="End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FootnoteText">
    <w:name w:val="footnote text"/>
    <w:basedOn w:val="Normal"/>
    <w:pPr/>
    <w:rPr>
      <w:sz w:val="20"/>
    </w:rPr>
  </w:style>
  <w:style w:type="paragraph" w:styleId="BodyText2">
    <w:name w:val="Body Text 2"/>
    <w:basedOn w:val="Normal"/>
    <w:qFormat/>
    <w:pPr>
      <w:tabs>
        <w:tab w:val="clear" w:pos="540"/>
      </w:tabs>
      <w:spacing w:before="0" w:after="240"/>
      <w:ind w:hanging="2160" w:start="2160" w:end="0"/>
      <w:jc w:val="both"/>
    </w:pPr>
    <w:rPr>
      <w:rFonts w:ascii="Times New Roman" w:hAnsi="Times New Roman" w:cs="Times New Roman"/>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2001-04-03T15:05:00Z</dcterms:created>
  <dc:creator>Jeff Ford</dc:creator>
  <dc:description/>
  <dc:language>en-CA</dc:language>
  <cp:lastModifiedBy>mmcvick</cp:lastModifiedBy>
  <cp:lastPrinted>2001-04-03T17:23:00Z</cp:lastPrinted>
  <dcterms:modified xsi:type="dcterms:W3CDTF">2001-04-03T20:30:00Z</dcterms:modified>
  <cp:revision>12</cp:revision>
  <dc:subject/>
  <dc:title>Eron Capital &amp; Trade Resources Memo</dc:title>
</cp:coreProperties>
</file>