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rFonts w:eastAsia="Arial"/>
        </w:rPr>
        <w:t xml:space="preserve"> </w:t>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rFonts w:ascii="Times New Roman" w:hAnsi="Times New Roman" w:cs="Times New Roman"/>
                <w:sz w:val="24"/>
              </w:rPr>
            </w:pPr>
            <w:bookmarkStart w:id="0" w:name="to"/>
            <w:bookmarkEnd w:id="0"/>
            <w:r>
              <w:rPr>
                <w:rFonts w:cs="Times New Roman" w:ascii="Times New Roman" w:hAnsi="Times New Roman"/>
                <w:sz w:val="24"/>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rFonts w:ascii="Times New Roman" w:hAnsi="Times New Roman" w:cs="Times New Roman"/>
                <w:sz w:val="24"/>
              </w:rPr>
            </w:pPr>
            <w:r>
              <w:rPr>
                <w:rFonts w:cs="Times New Roman" w:ascii="Times New Roman" w:hAnsi="Times New Roman"/>
                <w:sz w:val="24"/>
              </w:rPr>
              <w:t>Marilyn Doolittle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rFonts w:ascii="Times New Roman" w:hAnsi="Times New Roman" w:cs="Times New Roman"/>
                <w:sz w:val="24"/>
              </w:rPr>
            </w:pPr>
            <w:bookmarkStart w:id="1" w:name="From"/>
            <w:bookmarkEnd w:id="1"/>
            <w:r>
              <w:rPr>
                <w:rFonts w:cs="Times New Roman" w:ascii="Times New Roman" w:hAnsi="Times New Roman"/>
                <w:sz w:val="24"/>
              </w:rPr>
              <w:t xml:space="preserve">Corporate Tax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rFonts w:ascii="Times New Roman" w:hAnsi="Times New Roman" w:cs="Times New Roman"/>
                <w:sz w:val="24"/>
              </w:rPr>
            </w:pPr>
            <w:bookmarkStart w:id="2" w:name="Subject"/>
            <w:bookmarkEnd w:id="2"/>
            <w:r>
              <w:rPr>
                <w:rFonts w:cs="Times New Roman" w:ascii="Times New Roman" w:hAnsi="Times New Roman"/>
                <w:sz w:val="24"/>
              </w:rPr>
              <w:t xml:space="preserve">2001 Nondeductible Lobbying Expenses </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rFonts w:ascii="Times New Roman" w:hAnsi="Times New Roman" w:cs="Times New Roman"/>
                <w:sz w:val="24"/>
              </w:rPr>
            </w:pPr>
            <w:r>
              <w:rPr>
                <w:rFonts w:cs="Times New Roman" w:ascii="Times New Roman" w:hAnsi="Times New Roman"/>
                <w:sz w:val="24"/>
              </w:rPr>
              <w:t>March 6, 2002</w:t>
            </w:r>
          </w:p>
        </w:tc>
      </w:tr>
    </w:tbl>
    <w:p>
      <w:pPr>
        <w:pStyle w:val="Body"/>
        <w:rPr/>
      </w:pPr>
      <w:r>
        <w:rPr/>
      </w:r>
    </w:p>
    <w:p>
      <w:pPr>
        <w:pStyle w:val="Body"/>
        <w:rPr/>
      </w:pPr>
      <w:r>
        <w:rPr/>
      </w:r>
      <w:bookmarkStart w:id="3" w:name="StartOfMemo"/>
      <w:bookmarkStart w:id="4" w:name="StartOfMemo"/>
      <w:bookmarkEnd w:id="4"/>
    </w:p>
    <w:p>
      <w:pPr>
        <w:pStyle w:val="Body"/>
        <w:rPr/>
      </w:pPr>
      <w:r>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Under the tax law, Enron is precluded from taking a tax deduction for certain expenses incurred in conducting lobbying activities.  Affected activities include (1) those conducted directly by Enron’s employees, and (2) those conducted by trade associations and coalitions to which Enron belongs.  To comply with this law, Enron’s employees must keep records of their time associated with lobbying activities.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The general categories of lobbying activities listed below are the nondeductible activities for which Enron must collect information about employees’ time and are, therefore, the focus of the attached questionnaire.  The questionnaire should be completed by employees at all Enron affiliated entities who are employees in government affairs departments and any other employees who are identified as engaged in the activities described below and in the attached Lobbying Time Report.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In completing the attached questionnaire, every effort should be made to provide answers to the questions in whole hours.  However, answers expressed in terms of ratios or percentages will also be accepted.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The general categories of nondeductible lobbying activities covered by the attached questionnaire are as follows: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Direct contact” lobbying; </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 xml:space="preserve">Other attempts to influence federal, state, and foreign legislation; </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Trade association activities;</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Communications with Senior Executive Branch officials.</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Please submit the completed 2001 Lobbying Time Report to Debbie Doyle at EB1753a on or before March 13, 2002.</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If you have any questions regarding how to complete the attached 2001 Lobbying Time Report, please contact Marilyn Doolittle at (713) 345-8051.</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Attachment</w:t>
      </w:r>
    </w:p>
    <w:sectPr>
      <w:headerReference w:type="default" r:id="rId3"/>
      <w:headerReference w:type="first" r:id="rId4"/>
      <w:footerReference w:type="default" r:id="rId5"/>
      <w:footerReference w:type="first" r:id="rId6"/>
      <w:type w:val="nextPage"/>
      <w:pgSz w:w="12240" w:h="15840"/>
      <w:pgMar w:left="720" w:right="720"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44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AIOCNORMAL">
    <w:name w:val="AIOC NORMAL"/>
    <w:basedOn w:val="Normal"/>
    <w:qFormat/>
    <w:pPr>
      <w:tabs>
        <w:tab w:val="clear" w:pos="540"/>
        <w:tab w:val="left" w:pos="1440" w:leader="none"/>
      </w:tabs>
    </w:pPr>
    <w:rPr>
      <w:rFonts w:ascii="Book Antiqua" w:hAnsi="Book Antiqua" w:cs="Book Antiqu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2002-02-26T18:45:00Z</dcterms:created>
  <dc:creator>Enron</dc:creator>
  <dc:description/>
  <dc:language>en-CA</dc:language>
  <cp:lastModifiedBy>ddoyle</cp:lastModifiedBy>
  <cp:lastPrinted>2002-03-06T15:00:00Z</cp:lastPrinted>
  <dcterms:modified xsi:type="dcterms:W3CDTF">2002-03-06T18:31:00Z</dcterms:modified>
  <cp:revision>3</cp:revision>
  <dc:subject/>
  <dc:title>Better, Faster, Simpler Memo </dc:title>
</cp:coreProperties>
</file>