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Accomplishments/Highlights of the EBS PR/Marketing team activities</w:t>
      </w:r>
    </w:p>
    <w:p>
      <w:pPr>
        <w:pStyle w:val="Heading1"/>
        <w:ind w:hanging="0" w:start="0"/>
        <w:rPr/>
      </w:pPr>
      <w:r>
        <w:rPr/>
        <w:t>January - June 2001</w:t>
      </w:r>
    </w:p>
    <w:p>
      <w:pPr>
        <w:pStyle w:val="Heading1"/>
        <w:ind w:hanging="0" w:start="0"/>
        <w:rPr/>
      </w:pPr>
      <w:r>
        <w:rPr/>
        <w:t>Kelly Kimberly</w:t>
      </w:r>
    </w:p>
    <w:p>
      <w:pPr>
        <w:pStyle w:val="Normal"/>
        <w:rPr/>
      </w:pPr>
      <w:r>
        <w:rPr/>
      </w:r>
    </w:p>
    <w:p>
      <w:pPr>
        <w:pStyle w:val="Heading1"/>
        <w:ind w:hanging="0" w:start="0"/>
        <w:jc w:val="start"/>
        <w:rPr/>
      </w:pPr>
      <w:r>
        <w:rPr/>
        <w:t>General</w:t>
      </w:r>
    </w:p>
    <w:p>
      <w:pPr>
        <w:pStyle w:val="BodyTextIndent"/>
        <w:numPr>
          <w:ilvl w:val="0"/>
          <w:numId w:val="3"/>
        </w:numPr>
        <w:jc w:val="start"/>
        <w:rPr>
          <w:rFonts w:ascii="Times New Roman" w:hAnsi="Times New Roman" w:cs="Times New Roman"/>
        </w:rPr>
      </w:pPr>
      <w:r>
        <w:rPr>
          <w:rFonts w:cs="Times New Roman" w:ascii="Times New Roman" w:hAnsi="Times New Roman"/>
        </w:rPr>
        <w:t xml:space="preserve">Launched written PR/marketing strategies for EBS and for each commercial team. </w:t>
      </w:r>
    </w:p>
    <w:p>
      <w:pPr>
        <w:pStyle w:val="Normal"/>
        <w:numPr>
          <w:ilvl w:val="0"/>
          <w:numId w:val="3"/>
        </w:numPr>
        <w:rPr/>
      </w:pPr>
      <w:r>
        <w:rPr/>
        <w:t>Within past year, reduced head count and budget by 75 percent.  Eliminated functions without perceived commercial value.  Reorganized PR/marketing team to focus on activities that make a direct commercial contribution.</w:t>
      </w:r>
    </w:p>
    <w:p>
      <w:pPr>
        <w:pStyle w:val="Normal"/>
        <w:rPr>
          <w:szCs w:val="20"/>
        </w:rPr>
      </w:pPr>
      <w:r>
        <w:rPr>
          <w:szCs w:val="20"/>
        </w:rPr>
        <w:t xml:space="preserve"> </w:t>
      </w:r>
    </w:p>
    <w:p>
      <w:pPr>
        <w:pStyle w:val="Heading2"/>
        <w:ind w:hanging="0" w:start="0"/>
        <w:rPr/>
      </w:pPr>
      <w:r>
        <w:rPr/>
        <w:t xml:space="preserve">Media and public relations </w:t>
      </w:r>
    </w:p>
    <w:p>
      <w:pPr>
        <w:pStyle w:val="Heading2"/>
        <w:numPr>
          <w:ilvl w:val="0"/>
          <w:numId w:val="2"/>
        </w:numPr>
        <w:rPr>
          <w:b w:val="false"/>
          <w:bCs w:val="false"/>
        </w:rPr>
      </w:pPr>
      <w:r>
        <w:rPr>
          <w:b w:val="false"/>
          <w:bCs w:val="false"/>
        </w:rPr>
        <w:t xml:space="preserve">Managed Blockbuster termination announcement.  Media reports were balanced, and analysts IDC and Giga indicated that this was beneficial for Enron.  </w:t>
      </w:r>
    </w:p>
    <w:p>
      <w:pPr>
        <w:pStyle w:val="Normal"/>
        <w:numPr>
          <w:ilvl w:val="0"/>
          <w:numId w:val="4"/>
        </w:numPr>
        <w:rPr/>
      </w:pPr>
      <w:r>
        <w:rPr/>
        <w:t>Launched Games On-Demand/Into announcement.  Resulted in nine analyst briefings and seven media interviews.  Resulted in 16 positive stories.</w:t>
      </w:r>
    </w:p>
    <w:p>
      <w:pPr>
        <w:pStyle w:val="Normal"/>
        <w:numPr>
          <w:ilvl w:val="0"/>
          <w:numId w:val="4"/>
        </w:numPr>
        <w:rPr/>
      </w:pPr>
      <w:r>
        <w:rPr/>
        <w:t>Launched storage trading, briefing six analysts and approximately 10 journalists.    Favorable analyst comments from IDC and Zona and approximately 17 positive news stories in key publications.</w:t>
      </w:r>
    </w:p>
    <w:p>
      <w:pPr>
        <w:pStyle w:val="Normal"/>
        <w:numPr>
          <w:ilvl w:val="0"/>
          <w:numId w:val="4"/>
        </w:numPr>
        <w:rPr/>
      </w:pPr>
      <w:r>
        <w:rPr/>
        <w:t xml:space="preserve">Other key media: </w:t>
      </w:r>
      <w:r>
        <w:rPr>
          <w:i/>
          <w:iCs/>
        </w:rPr>
        <w:t>Telephony</w:t>
      </w:r>
      <w:r>
        <w:rPr/>
        <w:t xml:space="preserve"> cover story on trading, </w:t>
      </w:r>
      <w:r>
        <w:rPr>
          <w:i/>
          <w:iCs/>
        </w:rPr>
        <w:t>Reuter’s</w:t>
      </w:r>
      <w:r>
        <w:rPr/>
        <w:t xml:space="preserve"> story on advertising trading, </w:t>
      </w:r>
      <w:r>
        <w:rPr>
          <w:i/>
          <w:iCs/>
        </w:rPr>
        <w:t>Financial Times</w:t>
      </w:r>
      <w:r>
        <w:rPr/>
        <w:t xml:space="preserve"> feature and numerous other bandwidth-related articles.</w:t>
      </w:r>
    </w:p>
    <w:p>
      <w:pPr>
        <w:pStyle w:val="Normal"/>
        <w:numPr>
          <w:ilvl w:val="0"/>
          <w:numId w:val="4"/>
        </w:numPr>
        <w:rPr/>
      </w:pPr>
      <w:r>
        <w:rPr/>
        <w:t xml:space="preserve"> </w:t>
      </w:r>
      <w:r>
        <w:rPr/>
        <w:t xml:space="preserve">Hosted first annual EBS industry analyst conference; 18 attendees and 100 percent approval rating.  </w:t>
      </w:r>
    </w:p>
    <w:p>
      <w:pPr>
        <w:pStyle w:val="Normal"/>
        <w:numPr>
          <w:ilvl w:val="0"/>
          <w:numId w:val="4"/>
        </w:numPr>
        <w:rPr/>
      </w:pPr>
      <w:r>
        <w:rPr/>
        <w:t xml:space="preserve">Held one-on-one briefings with more than 40 analysts.  Enron mentioned in Meta and Stratacast Partners reports in May.  Frost &amp; Sullivan awarded Enron a Marketing Engineering award for “a positive contribution to the wholesale services industry.” </w:t>
      </w:r>
    </w:p>
    <w:p>
      <w:pPr>
        <w:pStyle w:val="Normal"/>
        <w:ind w:start="360" w:end="0"/>
        <w:rPr/>
      </w:pPr>
      <w:r>
        <w:rPr/>
      </w:r>
    </w:p>
    <w:p>
      <w:pPr>
        <w:pStyle w:val="Heading2"/>
        <w:ind w:hanging="0" w:start="0"/>
        <w:rPr/>
      </w:pPr>
      <w:r>
        <w:rPr/>
        <w:t xml:space="preserve">Employee communication </w:t>
      </w:r>
    </w:p>
    <w:p>
      <w:pPr>
        <w:pStyle w:val="Heading2"/>
        <w:numPr>
          <w:ilvl w:val="0"/>
          <w:numId w:val="6"/>
        </w:numPr>
        <w:rPr>
          <w:b w:val="false"/>
          <w:bCs w:val="false"/>
        </w:rPr>
      </w:pPr>
      <w:r>
        <w:rPr>
          <w:b w:val="false"/>
          <w:bCs w:val="false"/>
        </w:rPr>
        <w:t xml:space="preserve">Continued consistent employee communication program including quarterly employee meetings and biweekly electronic newsletter. </w:t>
      </w:r>
    </w:p>
    <w:p>
      <w:pPr>
        <w:pStyle w:val="Normal"/>
        <w:numPr>
          <w:ilvl w:val="0"/>
          <w:numId w:val="7"/>
        </w:numPr>
        <w:ind w:hanging="360" w:start="720" w:end="-331"/>
        <w:rPr/>
      </w:pPr>
      <w:r>
        <w:rPr/>
        <w:t>Planned employee meetings relating to redeployment activities.</w:t>
      </w:r>
    </w:p>
    <w:p>
      <w:pPr>
        <w:pStyle w:val="Normal"/>
        <w:rPr/>
      </w:pPr>
      <w:r>
        <w:rPr/>
      </w:r>
    </w:p>
    <w:p>
      <w:pPr>
        <w:pStyle w:val="Heading2"/>
        <w:ind w:hanging="0" w:start="0"/>
        <w:rPr/>
      </w:pPr>
      <w:r>
        <w:rPr/>
        <w:t xml:space="preserve">Marketing communication/strategic marketing  </w:t>
      </w:r>
    </w:p>
    <w:p>
      <w:pPr>
        <w:pStyle w:val="Normal"/>
        <w:numPr>
          <w:ilvl w:val="0"/>
          <w:numId w:val="5"/>
        </w:numPr>
        <w:rPr/>
      </w:pPr>
      <w:r>
        <w:rPr/>
        <w:t>Launched bandwidth trading on Enron Online in Europe with direct mail campaign.  Campaign resulted in 10 new counterparties.</w:t>
      </w:r>
    </w:p>
    <w:p>
      <w:pPr>
        <w:pStyle w:val="Normal"/>
        <w:numPr>
          <w:ilvl w:val="0"/>
          <w:numId w:val="5"/>
        </w:numPr>
        <w:rPr/>
      </w:pPr>
      <w:r>
        <w:rPr/>
        <w:t>Launching US direct mail and telemarketing campaign with mid-markets team.  Leads from telemarketing efforts were already at 25 before mailing dropped.</w:t>
      </w:r>
    </w:p>
    <w:p>
      <w:pPr>
        <w:pStyle w:val="Normal"/>
        <w:numPr>
          <w:ilvl w:val="0"/>
          <w:numId w:val="5"/>
        </w:numPr>
        <w:rPr/>
      </w:pPr>
      <w:r>
        <w:rPr/>
        <w:t xml:space="preserve">Team reduced number and cost of events at which EBS exhibits; worked with commercial teams on more strategic opportunities at these events.  Key events: Sundance Film Festival, Comptel, Ascent, NAB and Milia.  Sundance resulted in nine customer meetings, key introductions in Hollywood and five media articles.  More than 200 customer meetings and four government relations meetings held at Comptel.  NAB produced 28 customer meetings and generated 160 leads.  </w:t>
      </w:r>
    </w:p>
    <w:p>
      <w:pPr>
        <w:pStyle w:val="Normal"/>
        <w:numPr>
          <w:ilvl w:val="0"/>
          <w:numId w:val="5"/>
        </w:numPr>
        <w:rPr/>
      </w:pPr>
      <w:r>
        <w:rPr/>
        <w:t>Launched new Enron website, Enron.net.  Developed overall EBS brochures for U.S. and Asia; one-pagers on topics such as storage trading and pooling points.</w:t>
      </w:r>
    </w:p>
    <w:p>
      <w:pPr>
        <w:pStyle w:val="Normal"/>
        <w:numPr>
          <w:ilvl w:val="0"/>
          <w:numId w:val="5"/>
        </w:numPr>
        <w:rPr/>
      </w:pPr>
      <w:r>
        <w:rPr/>
        <w:t xml:space="preserve">Placed trading advertising in </w:t>
      </w:r>
      <w:r>
        <w:rPr>
          <w:i/>
          <w:iCs/>
        </w:rPr>
        <w:t>Capacity</w:t>
      </w:r>
      <w:r>
        <w:rPr/>
        <w:t xml:space="preserve"> and </w:t>
      </w:r>
      <w:r>
        <w:rPr>
          <w:i/>
          <w:iCs/>
        </w:rPr>
        <w:t>Telecoms Capacity</w:t>
      </w:r>
      <w:r>
        <w:rPr/>
        <w:t xml:space="preserve"> magazines.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rFonts w:ascii="Arial" w:hAnsi="Arial" w:cs="Arial"/>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2001-08-14T10:55:00Z</dcterms:created>
  <dc:creator>kelly_kimberly</dc:creator>
  <dc:description/>
  <dc:language>en-CA</dc:language>
  <cp:lastModifiedBy>swalker4</cp:lastModifiedBy>
  <cp:lastPrinted>2001-06-13T16:13:00Z</cp:lastPrinted>
  <dcterms:modified xsi:type="dcterms:W3CDTF">2001-08-14T10:59:00Z</dcterms:modified>
  <cp:revision>4</cp:revision>
  <dc:subject/>
  <dc:title>Marketing and Public Relations</dc:title>
</cp:coreProperties>
</file>