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ahoma" w:hAnsi="Tahoma" w:cs="Tahoma"/>
          <w:b/>
          <w:sz w:val="28"/>
        </w:rPr>
      </w:pPr>
      <w:r>
        <w:rPr>
          <w:rFonts w:cs="Tahoma" w:ascii="Tahoma" w:hAnsi="Tahoma"/>
          <w:b/>
          <w:sz w:val="28"/>
        </w:rPr>
        <w:t>ETS Information Technology</w:t>
      </w:r>
    </w:p>
    <w:p>
      <w:pPr>
        <w:pStyle w:val="Normal"/>
        <w:jc w:val="center"/>
        <w:rPr>
          <w:rFonts w:ascii="Tahoma" w:hAnsi="Tahoma" w:cs="Tahoma"/>
          <w:b/>
          <w:sz w:val="28"/>
        </w:rPr>
      </w:pPr>
      <w:r>
        <w:rPr>
          <w:rFonts w:cs="Tahoma" w:ascii="Tahoma" w:hAnsi="Tahoma"/>
          <w:b/>
          <w:sz w:val="28"/>
        </w:rPr>
        <w:t>2001 Scorecard</w:t>
      </w:r>
    </w:p>
    <w:p>
      <w:pPr>
        <w:pStyle w:val="Normal"/>
        <w:rPr>
          <w:rFonts w:ascii="Tahoma" w:hAnsi="Tahoma" w:cs="Tahoma"/>
          <w:b/>
          <w:i/>
          <w:i/>
          <w:sz w:val="28"/>
        </w:rPr>
      </w:pPr>
      <w:r>
        <w:rPr>
          <w:rFonts w:cs="Tahoma" w:ascii="Tahoma" w:hAnsi="Tahoma"/>
          <w:b/>
          <w:i/>
          <w:sz w:val="28"/>
        </w:rPr>
      </w:r>
    </w:p>
    <w:p>
      <w:pPr>
        <w:pStyle w:val="Normal"/>
        <w:rPr>
          <w:rFonts w:ascii="Tahoma" w:hAnsi="Tahoma" w:cs="Tahoma"/>
          <w:i/>
          <w:i/>
        </w:rPr>
      </w:pPr>
      <w:r>
        <w:rPr>
          <w:rFonts w:cs="Tahoma" w:ascii="Tahoma" w:hAnsi="Tahoma"/>
          <w:i/>
        </w:rPr>
      </w:r>
    </w:p>
    <w:tbl>
      <w:tblPr>
        <w:tblW w:w="98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828"/>
      </w:tblGrid>
      <w:tr>
        <w:trPr/>
        <w:tc>
          <w:tcPr>
            <w:tcW w:w="9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rFonts w:ascii="Tahoma" w:hAnsi="Tahoma" w:cs="Tahoma"/>
                <w:color w:val="auto"/>
                <w:sz w:val="28"/>
              </w:rPr>
            </w:pPr>
            <w:r>
              <w:rPr>
                <w:rFonts w:cs="Tahoma" w:ascii="Tahoma" w:hAnsi="Tahoma"/>
                <w:color w:val="auto"/>
                <w:sz w:val="28"/>
              </w:rPr>
              <w:t>Objectives:</w:t>
            </w:r>
          </w:p>
        </w:tc>
      </w:tr>
      <w:tr>
        <w:trPr/>
        <w:tc>
          <w:tcPr>
            <w:tcW w:w="9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rPr>
                <w:rFonts w:ascii="Tahoma" w:hAnsi="Tahoma" w:cs="Tahoma"/>
                <w:b/>
              </w:rPr>
            </w:pPr>
            <w:r>
              <w:rPr>
                <w:rFonts w:cs="Tahoma" w:ascii="Tahoma" w:hAnsi="Tahoma"/>
                <w:b/>
              </w:rPr>
              <w:t>Maintain reliability levels at or above the levels published for 2000</w:t>
            </w:r>
          </w:p>
          <w:p>
            <w:pPr>
              <w:pStyle w:val="Normal"/>
              <w:numPr>
                <w:ilvl w:val="0"/>
                <w:numId w:val="4"/>
              </w:numPr>
              <w:ind w:hanging="360" w:start="648" w:end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Hottap uptime during core hours at 99.6% or above</w:t>
            </w:r>
          </w:p>
          <w:p>
            <w:pPr>
              <w:pStyle w:val="Normal"/>
              <w:numPr>
                <w:ilvl w:val="0"/>
                <w:numId w:val="4"/>
              </w:numPr>
              <w:ind w:hanging="360" w:start="648" w:end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Interoffice Electronic mail uptime at 99% or above</w:t>
            </w:r>
          </w:p>
          <w:p>
            <w:pPr>
              <w:pStyle w:val="Normal"/>
              <w:numPr>
                <w:ilvl w:val="0"/>
                <w:numId w:val="4"/>
              </w:numPr>
              <w:ind w:hanging="360" w:start="648" w:end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SCADA uptime at 100%</w:t>
            </w:r>
          </w:p>
          <w:p>
            <w:pPr>
              <w:pStyle w:val="Normal"/>
              <w:numPr>
                <w:ilvl w:val="0"/>
                <w:numId w:val="4"/>
              </w:numPr>
              <w:ind w:hanging="360" w:start="648" w:end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Enterprise Network uptime at 99% or above</w:t>
            </w:r>
          </w:p>
          <w:p>
            <w:pPr>
              <w:pStyle w:val="Normal"/>
              <w:numPr>
                <w:ilvl w:val="0"/>
                <w:numId w:val="4"/>
              </w:numPr>
              <w:ind w:hanging="360" w:start="648" w:end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Reliability standards for all other areas are found in our monthly reliability report</w:t>
            </w:r>
          </w:p>
        </w:tc>
      </w:tr>
      <w:tr>
        <w:trPr/>
        <w:tc>
          <w:tcPr>
            <w:tcW w:w="9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rPr>
                <w:rFonts w:ascii="Tahoma" w:hAnsi="Tahoma" w:cs="Tahoma"/>
                <w:b/>
              </w:rPr>
            </w:pPr>
            <w:r>
              <w:rPr>
                <w:rFonts w:cs="Tahoma" w:ascii="Tahoma" w:hAnsi="Tahoma"/>
                <w:b/>
              </w:rPr>
              <w:t>Complete all development projects on time and within budget</w:t>
            </w:r>
          </w:p>
          <w:p>
            <w:pPr>
              <w:pStyle w:val="Normal"/>
              <w:numPr>
                <w:ilvl w:val="0"/>
                <w:numId w:val="11"/>
              </w:numPr>
              <w:ind w:hanging="360" w:start="648" w:end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Within +/- 5% of budget</w:t>
            </w:r>
          </w:p>
          <w:p>
            <w:pPr>
              <w:pStyle w:val="Normal"/>
              <w:numPr>
                <w:ilvl w:val="0"/>
                <w:numId w:val="11"/>
              </w:numPr>
              <w:ind w:hanging="360" w:start="648" w:end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Within +/- 10% of schedule</w:t>
            </w:r>
          </w:p>
        </w:tc>
      </w:tr>
      <w:tr>
        <w:trPr/>
        <w:tc>
          <w:tcPr>
            <w:tcW w:w="9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rPr>
                <w:rFonts w:ascii="Tahoma" w:hAnsi="Tahoma" w:cs="Tahoma"/>
                <w:b/>
              </w:rPr>
            </w:pPr>
            <w:r>
              <w:rPr>
                <w:rFonts w:cs="Tahoma" w:ascii="Tahoma" w:hAnsi="Tahoma"/>
                <w:b/>
              </w:rPr>
              <w:t>Accomplish a “satisfactory” or above rating on all IT audits</w:t>
            </w:r>
          </w:p>
          <w:p>
            <w:pPr>
              <w:pStyle w:val="Normal"/>
              <w:numPr>
                <w:ilvl w:val="0"/>
                <w:numId w:val="3"/>
              </w:numPr>
              <w:ind w:hanging="360" w:start="720" w:end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Internal Enron Audits</w:t>
            </w:r>
          </w:p>
          <w:p>
            <w:pPr>
              <w:pStyle w:val="Normal"/>
              <w:numPr>
                <w:ilvl w:val="0"/>
                <w:numId w:val="3"/>
              </w:numPr>
              <w:ind w:hanging="360" w:start="720" w:end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Arthur Andersen Audits</w:t>
            </w:r>
          </w:p>
        </w:tc>
      </w:tr>
      <w:tr>
        <w:trPr/>
        <w:tc>
          <w:tcPr>
            <w:tcW w:w="9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rPr>
                <w:rFonts w:ascii="Tahoma" w:hAnsi="Tahoma" w:cs="Tahoma"/>
                <w:b/>
              </w:rPr>
            </w:pPr>
            <w:r>
              <w:rPr>
                <w:rFonts w:cs="Tahoma" w:ascii="Tahoma" w:hAnsi="Tahoma"/>
                <w:b/>
              </w:rPr>
              <w:t>Manage the O&amp;M gross budget to achieve the requested 5% reduction</w:t>
            </w:r>
          </w:p>
          <w:p>
            <w:pPr>
              <w:pStyle w:val="Normal"/>
              <w:numPr>
                <w:ilvl w:val="0"/>
                <w:numId w:val="5"/>
              </w:numPr>
              <w:ind w:hanging="360" w:start="720" w:end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O&amp;M Budget not to exceed $23.9 million (excluding NBPL)</w:t>
            </w:r>
          </w:p>
        </w:tc>
      </w:tr>
      <w:tr>
        <w:trPr/>
        <w:tc>
          <w:tcPr>
            <w:tcW w:w="9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rPr>
                <w:rFonts w:ascii="Tahoma" w:hAnsi="Tahoma" w:cs="Tahoma"/>
                <w:b/>
              </w:rPr>
            </w:pPr>
            <w:r>
              <w:rPr>
                <w:rFonts w:cs="Tahoma" w:ascii="Tahoma" w:hAnsi="Tahoma"/>
                <w:b/>
              </w:rPr>
              <w:t>Complete the ETS IT Infrastructure project</w:t>
            </w:r>
          </w:p>
          <w:p>
            <w:pPr>
              <w:pStyle w:val="Normal"/>
              <w:numPr>
                <w:ilvl w:val="0"/>
                <w:numId w:val="8"/>
              </w:numPr>
              <w:ind w:hanging="360" w:start="648" w:end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Implement Windows 2000</w:t>
            </w:r>
          </w:p>
          <w:p>
            <w:pPr>
              <w:pStyle w:val="Normal"/>
              <w:numPr>
                <w:ilvl w:val="0"/>
                <w:numId w:val="8"/>
              </w:numPr>
              <w:ind w:hanging="360" w:start="648" w:end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Implement Outlook/Exchange</w:t>
            </w:r>
          </w:p>
        </w:tc>
      </w:tr>
      <w:tr>
        <w:trPr/>
        <w:tc>
          <w:tcPr>
            <w:tcW w:w="9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rPr>
                <w:rFonts w:ascii="Tahoma" w:hAnsi="Tahoma" w:cs="Tahoma"/>
                <w:b/>
              </w:rPr>
            </w:pPr>
            <w:r>
              <w:rPr>
                <w:rFonts w:cs="Tahoma" w:ascii="Tahoma" w:hAnsi="Tahoma"/>
                <w:b/>
              </w:rPr>
              <w:t>Enhance employee careers across Enron Net Works</w:t>
            </w:r>
          </w:p>
          <w:p>
            <w:pPr>
              <w:pStyle w:val="Normal"/>
              <w:numPr>
                <w:ilvl w:val="0"/>
                <w:numId w:val="6"/>
              </w:numPr>
              <w:ind w:hanging="360" w:start="648" w:end="0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color w:val="000000"/>
                <w:lang w:eastAsia="en-US"/>
              </w:rPr>
              <w:t>Utilize Enron's GTT Program to recruit and hire IT Professionals</w:t>
            </w:r>
          </w:p>
          <w:p>
            <w:pPr>
              <w:pStyle w:val="Normal"/>
              <w:numPr>
                <w:ilvl w:val="0"/>
                <w:numId w:val="6"/>
              </w:numPr>
              <w:ind w:hanging="360" w:start="648" w:end="0"/>
              <w:rPr>
                <w:rFonts w:ascii="Tahoma" w:hAnsi="Tahoma" w:cs="Tahoma"/>
              </w:rPr>
            </w:pPr>
            <w:r>
              <w:rPr>
                <w:rFonts w:cs="Tahoma" w:ascii="Tahoma" w:hAnsi="Tahoma"/>
                <w:color w:val="000000"/>
                <w:lang w:eastAsia="en-US"/>
              </w:rPr>
              <w:t>Pursue opportunities to move ETS IT employees in/out of ENW</w:t>
            </w:r>
          </w:p>
        </w:tc>
      </w:tr>
      <w:tr>
        <w:trPr/>
        <w:tc>
          <w:tcPr>
            <w:tcW w:w="9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rPr>
                <w:rFonts w:ascii="Tahoma" w:hAnsi="Tahoma" w:cs="Tahoma"/>
                <w:b/>
              </w:rPr>
            </w:pPr>
            <w:r>
              <w:rPr>
                <w:rFonts w:cs="Tahoma" w:ascii="Tahoma" w:hAnsi="Tahoma"/>
                <w:b/>
              </w:rPr>
              <w:t>Incorporate NBPL/NPNG’s IT team fully into ETS IT and Enron Net Works</w:t>
            </w:r>
          </w:p>
          <w:p>
            <w:pPr>
              <w:pStyle w:val="Normal"/>
              <w:numPr>
                <w:ilvl w:val="0"/>
                <w:numId w:val="12"/>
              </w:numPr>
              <w:ind w:hanging="360" w:start="648" w:end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Merge Omaha Help Desks</w:t>
            </w:r>
          </w:p>
          <w:p>
            <w:pPr>
              <w:pStyle w:val="Normal"/>
              <w:numPr>
                <w:ilvl w:val="0"/>
                <w:numId w:val="12"/>
              </w:numPr>
              <w:ind w:hanging="360" w:start="648" w:end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Lay the foundation for sharing applications</w:t>
            </w:r>
          </w:p>
        </w:tc>
      </w:tr>
      <w:tr>
        <w:trPr/>
        <w:tc>
          <w:tcPr>
            <w:tcW w:w="9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rPr>
                <w:rFonts w:ascii="Tahoma" w:hAnsi="Tahoma" w:cs="Tahoma"/>
                <w:b/>
              </w:rPr>
            </w:pPr>
            <w:r>
              <w:rPr>
                <w:rFonts w:cs="Tahoma" w:ascii="Tahoma" w:hAnsi="Tahoma"/>
                <w:b/>
              </w:rPr>
              <w:t>Develop and implement an E-commerce strategy within ETS IT</w:t>
            </w:r>
          </w:p>
          <w:p>
            <w:pPr>
              <w:pStyle w:val="Normal"/>
              <w:numPr>
                <w:ilvl w:val="0"/>
                <w:numId w:val="2"/>
              </w:numPr>
              <w:ind w:hanging="360" w:start="648" w:end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 xml:space="preserve">Implement 2001 goals identified  </w:t>
            </w:r>
          </w:p>
          <w:p>
            <w:pPr>
              <w:pStyle w:val="Normal"/>
              <w:numPr>
                <w:ilvl w:val="0"/>
                <w:numId w:val="2"/>
              </w:numPr>
              <w:ind w:hanging="360" w:start="648" w:end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Implement E-business in new areas</w:t>
            </w:r>
          </w:p>
        </w:tc>
      </w:tr>
      <w:tr>
        <w:trPr/>
        <w:tc>
          <w:tcPr>
            <w:tcW w:w="9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rPr>
                <w:rFonts w:ascii="Tahoma" w:hAnsi="Tahoma" w:cs="Tahoma"/>
                <w:b/>
              </w:rPr>
            </w:pPr>
            <w:r>
              <w:rPr>
                <w:rFonts w:cs="Tahoma" w:ascii="Tahoma" w:hAnsi="Tahoma"/>
                <w:b/>
              </w:rPr>
              <w:t>Initiate revenue generation activities within ETS IT</w:t>
            </w:r>
          </w:p>
          <w:p>
            <w:pPr>
              <w:pStyle w:val="Normal"/>
              <w:numPr>
                <w:ilvl w:val="0"/>
                <w:numId w:val="9"/>
              </w:numPr>
              <w:ind w:hanging="360" w:start="648" w:end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Contract to maintain the New Power Company’s infrastructure</w:t>
            </w:r>
          </w:p>
          <w:p>
            <w:pPr>
              <w:pStyle w:val="Normal"/>
              <w:numPr>
                <w:ilvl w:val="0"/>
                <w:numId w:val="9"/>
              </w:numPr>
              <w:ind w:hanging="360" w:start="648" w:end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Identify and package to sell at least one ETS IT application</w:t>
            </w:r>
          </w:p>
        </w:tc>
      </w:tr>
      <w:tr>
        <w:trPr/>
        <w:tc>
          <w:tcPr>
            <w:tcW w:w="9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0"/>
              </w:numPr>
              <w:rPr>
                <w:rFonts w:ascii="Tahoma" w:hAnsi="Tahoma" w:cs="Tahoma"/>
                <w:b/>
              </w:rPr>
            </w:pPr>
            <w:r>
              <w:rPr>
                <w:rFonts w:cs="Tahoma" w:ascii="Tahoma" w:hAnsi="Tahoma"/>
                <w:b/>
              </w:rPr>
              <w:t>Continue to move to common platforms and systems across the pipelines</w:t>
            </w:r>
          </w:p>
          <w:p>
            <w:pPr>
              <w:pStyle w:val="Normal"/>
              <w:numPr>
                <w:ilvl w:val="0"/>
                <w:numId w:val="7"/>
              </w:numPr>
              <w:ind w:hanging="360" w:start="648" w:end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Implement – Measurement, SCADA, Contracts, Capacity Release and Internet Consolidation</w:t>
            </w:r>
          </w:p>
          <w:p>
            <w:pPr>
              <w:pStyle w:val="Normal"/>
              <w:numPr>
                <w:ilvl w:val="0"/>
                <w:numId w:val="7"/>
              </w:numPr>
              <w:ind w:hanging="360" w:start="648" w:end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Reduce our technology base by 15%, thus reducing ongoing maintenance costs</w:t>
            </w:r>
          </w:p>
          <w:p>
            <w:pPr>
              <w:pStyle w:val="Normal"/>
              <w:numPr>
                <w:ilvl w:val="0"/>
                <w:numId w:val="7"/>
              </w:numPr>
              <w:ind w:hanging="360" w:start="648" w:end="0"/>
              <w:rPr>
                <w:rFonts w:ascii="Tahoma" w:hAnsi="Tahoma" w:cs="Tahoma"/>
              </w:rPr>
            </w:pPr>
            <w:r>
              <w:rPr>
                <w:rFonts w:cs="Tahoma" w:ascii="Tahoma" w:hAnsi="Tahoma"/>
              </w:rPr>
              <w:t>Manage our technology base to capitalize on Corporate’s and ENW’s agreements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2"/>
      <w:type w:val="nextPage"/>
      <w:pgSz w:w="12240" w:h="15840"/>
      <w:pgMar w:left="1296" w:right="1440" w:gutter="0" w:header="0" w:top="1440" w:footer="576" w:bottom="1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>
        <w:i/>
        <w:i/>
        <w:sz w:val="16"/>
      </w:rPr>
    </w:pPr>
    <w:r>
      <w:rPr>
        <w:i/>
        <w:sz w:val="16"/>
      </w:rPr>
      <w:t>Updated 12/12/00</w:t>
    </w:r>
  </w:p>
  <w:p>
    <w:pPr>
      <w:pStyle w:val="Footer"/>
      <w:rPr>
        <w:i/>
        <w:i/>
        <w:sz w:val="20"/>
      </w:rPr>
    </w:pPr>
    <w:r>
      <w:rPr>
        <w:i/>
        <w:sz w:val="20"/>
      </w:rPr>
    </w:r>
  </w:p>
  <w:p>
    <w:pPr>
      <w:pStyle w:val="Footer"/>
      <w:rPr>
        <w:sz w:val="20"/>
      </w:rPr>
    </w:pPr>
    <w:r>
      <w:rPr>
        <w:sz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"/>
      <w:lvlJc w:val="start"/>
      <w:pPr>
        <w:tabs>
          <w:tab w:val="num" w:pos="432"/>
        </w:tabs>
        <w:ind w:start="432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"/>
      <w:lvlJc w:val="start"/>
      <w:pPr>
        <w:tabs>
          <w:tab w:val="num" w:pos="432"/>
        </w:tabs>
        <w:ind w:start="432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"/>
      <w:lvlJc w:val="start"/>
      <w:pPr>
        <w:tabs>
          <w:tab w:val="num" w:pos="432"/>
        </w:tabs>
        <w:ind w:start="432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"/>
      <w:lvlJc w:val="start"/>
      <w:pPr>
        <w:tabs>
          <w:tab w:val="num" w:pos="432"/>
        </w:tabs>
        <w:ind w:start="432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"/>
      <w:lvlJc w:val="start"/>
      <w:pPr>
        <w:tabs>
          <w:tab w:val="num" w:pos="432"/>
        </w:tabs>
        <w:ind w:start="432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"/>
      <w:lvlJc w:val="start"/>
      <w:pPr>
        <w:tabs>
          <w:tab w:val="num" w:pos="432"/>
        </w:tabs>
        <w:ind w:start="432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"/>
      <w:lvlJc w:val="start"/>
      <w:pPr>
        <w:tabs>
          <w:tab w:val="num" w:pos="432"/>
        </w:tabs>
        <w:ind w:start="432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"/>
      <w:lvlJc w:val="start"/>
      <w:pPr>
        <w:tabs>
          <w:tab w:val="num" w:pos="432"/>
        </w:tabs>
        <w:ind w:start="432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"/>
      <w:lvlJc w:val="start"/>
      <w:pPr>
        <w:tabs>
          <w:tab w:val="num" w:pos="432"/>
        </w:tabs>
        <w:ind w:start="432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"/>
      <w:lvlJc w:val="start"/>
      <w:pPr>
        <w:tabs>
          <w:tab w:val="num" w:pos="432"/>
        </w:tabs>
        <w:ind w:start="432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color w:val="FF0000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  <w:color w:val="auto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6z0">
    <w:name w:val="WW8Num26z0"/>
    <w:qFormat/>
    <w:rPr>
      <w:rFonts w:ascii="Wingdings" w:hAnsi="Wingdings" w:cs="Wingdings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  <w:color w:val="auto"/>
    </w:rPr>
  </w:style>
  <w:style w:type="character" w:styleId="WW8Num33z0">
    <w:name w:val="WW8Num33z0"/>
    <w:qFormat/>
    <w:rPr>
      <w:rFonts w:ascii="Wingdings" w:hAnsi="Wingdings" w:cs="Wingdings"/>
    </w:rPr>
  </w:style>
  <w:style w:type="character" w:styleId="WW8Num34z0">
    <w:name w:val="WW8Num34z0"/>
    <w:qFormat/>
    <w:rPr>
      <w:rFonts w:ascii="Wingdings" w:hAnsi="Wingdings" w:cs="Wingdings"/>
    </w:rPr>
  </w:style>
  <w:style w:type="character" w:styleId="WW8Num35z0">
    <w:name w:val="WW8Num35z0"/>
    <w:qFormat/>
    <w:rPr>
      <w:rFonts w:ascii="Wingdings" w:hAnsi="Wingdings" w:cs="Wingdings"/>
    </w:rPr>
  </w:style>
  <w:style w:type="character" w:styleId="WW8Num36z0">
    <w:name w:val="WW8Num36z0"/>
    <w:qFormat/>
    <w:rPr>
      <w:rFonts w:ascii="Wingdings" w:hAnsi="Wingdings" w:cs="Wingdings"/>
    </w:rPr>
  </w:style>
  <w:style w:type="character" w:styleId="WW8Num37z0">
    <w:name w:val="WW8Num37z0"/>
    <w:qFormat/>
    <w:rPr>
      <w:rFonts w:ascii="Wingdings" w:hAnsi="Wingdings" w:cs="Wingdings"/>
    </w:rPr>
  </w:style>
  <w:style w:type="character" w:styleId="WW8Num39z0">
    <w:name w:val="WW8Num39z0"/>
    <w:qFormat/>
    <w:rPr>
      <w:rFonts w:ascii="Wingdings" w:hAnsi="Wingdings" w:cs="Wingdings"/>
    </w:rPr>
  </w:style>
  <w:style w:type="character" w:styleId="WW8Num40z0">
    <w:name w:val="WW8Num40z0"/>
    <w:qFormat/>
    <w:rPr>
      <w:rFonts w:ascii="Wingdings" w:hAnsi="Wingdings" w:cs="Wingdings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Wingdings" w:hAnsi="Wingdings" w:cs="Wingdings"/>
    </w:rPr>
  </w:style>
  <w:style w:type="character" w:styleId="WW8Num43z0">
    <w:name w:val="WW8Num43z0"/>
    <w:qFormat/>
    <w:rPr>
      <w:rFonts w:ascii="Wingdings" w:hAnsi="Wingdings" w:cs="Wingdings"/>
    </w:rPr>
  </w:style>
  <w:style w:type="character" w:styleId="WW8Num44z0">
    <w:name w:val="WW8Num44z0"/>
    <w:qFormat/>
    <w:rPr>
      <w:rFonts w:ascii="Symbol" w:hAnsi="Symbol" w:cs="Symbol"/>
      <w:color w:val="auto"/>
    </w:rPr>
  </w:style>
  <w:style w:type="character" w:styleId="WW8Num45z0">
    <w:name w:val="WW8Num45z0"/>
    <w:qFormat/>
    <w:rPr>
      <w:rFonts w:ascii="Wingdings" w:hAnsi="Wingdings" w:cs="Wingdings"/>
    </w:rPr>
  </w:style>
  <w:style w:type="character" w:styleId="WW8Num46z0">
    <w:name w:val="WW8Num46z0"/>
    <w:qFormat/>
    <w:rPr>
      <w:rFonts w:ascii="Wingdings" w:hAnsi="Wingdings" w:cs="Wingdings"/>
    </w:rPr>
  </w:style>
  <w:style w:type="character" w:styleId="WW8Num48z0">
    <w:name w:val="WW8Num48z0"/>
    <w:qFormat/>
    <w:rPr>
      <w:rFonts w:ascii="Wingdings" w:hAnsi="Wingdings" w:cs="Wingdings"/>
    </w:rPr>
  </w:style>
  <w:style w:type="character" w:styleId="WW8Num49z0">
    <w:name w:val="WW8Num49z0"/>
    <w:qFormat/>
    <w:rPr>
      <w:rFonts w:ascii="Wingdings" w:hAnsi="Wingdings" w:cs="Wingdings"/>
    </w:rPr>
  </w:style>
  <w:style w:type="character" w:styleId="WW8Num50z0">
    <w:name w:val="WW8Num50z0"/>
    <w:qFormat/>
    <w:rPr>
      <w:rFonts w:ascii="Symbol" w:hAnsi="Symbol" w:cs="Symbol"/>
    </w:rPr>
  </w:style>
  <w:style w:type="character" w:styleId="WW8Num51z0">
    <w:name w:val="WW8Num51z0"/>
    <w:qFormat/>
    <w:rPr>
      <w:rFonts w:ascii="Symbol" w:hAnsi="Symbol" w:cs="Symbol"/>
    </w:rPr>
  </w:style>
  <w:style w:type="character" w:styleId="WW8Num52z0">
    <w:name w:val="WW8Num52z0"/>
    <w:qFormat/>
    <w:rPr>
      <w:rFonts w:ascii="Wingdings" w:hAnsi="Wingdings" w:cs="Wingdings"/>
    </w:rPr>
  </w:style>
  <w:style w:type="character" w:styleId="WW8Num53z0">
    <w:name w:val="WW8Num53z0"/>
    <w:qFormat/>
    <w:rPr>
      <w:rFonts w:ascii="Symbol" w:hAnsi="Symbol" w:cs="Symbol"/>
      <w:color w:val="auto"/>
    </w:rPr>
  </w:style>
  <w:style w:type="character" w:styleId="WW8Num54z0">
    <w:name w:val="WW8Num54z0"/>
    <w:qFormat/>
    <w:rPr>
      <w:rFonts w:ascii="Wingdings" w:hAnsi="Wingdings" w:cs="Wingdings"/>
    </w:rPr>
  </w:style>
  <w:style w:type="character" w:styleId="WW8Num55z0">
    <w:name w:val="WW8Num55z0"/>
    <w:qFormat/>
    <w:rPr>
      <w:rFonts w:ascii="Wingdings" w:hAnsi="Wingdings" w:cs="Wingdings"/>
    </w:rPr>
  </w:style>
  <w:style w:type="character" w:styleId="WW8Num56z0">
    <w:name w:val="WW8Num56z0"/>
    <w:qFormat/>
    <w:rPr>
      <w:rFonts w:ascii="Wingdings" w:hAnsi="Wingdings" w:cs="Wingdings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Wingdings" w:hAnsi="Wingdings" w:cs="Wingdings"/>
    </w:rPr>
  </w:style>
  <w:style w:type="character" w:styleId="WW8Num60z0">
    <w:name w:val="WW8Num60z0"/>
    <w:qFormat/>
    <w:rPr>
      <w:rFonts w:ascii="Symbol" w:hAnsi="Symbol" w:cs="Symbol"/>
      <w:color w:val="auto"/>
    </w:rPr>
  </w:style>
  <w:style w:type="character" w:styleId="WW8Num61z0">
    <w:name w:val="WW8Num61z0"/>
    <w:qFormat/>
    <w:rPr>
      <w:rFonts w:ascii="Wingdings" w:hAnsi="Wingdings" w:cs="Wingdings"/>
    </w:rPr>
  </w:style>
  <w:style w:type="character" w:styleId="WW8Num62z0">
    <w:name w:val="WW8Num62z0"/>
    <w:qFormat/>
    <w:rPr>
      <w:rFonts w:ascii="Wingdings" w:hAnsi="Wingdings" w:cs="Wingdings"/>
    </w:rPr>
  </w:style>
  <w:style w:type="character" w:styleId="WW8Num63z0">
    <w:name w:val="WW8Num63z0"/>
    <w:qFormat/>
    <w:rPr>
      <w:rFonts w:ascii="Wingdings" w:hAnsi="Wingdings" w:cs="Wingdings"/>
    </w:rPr>
  </w:style>
  <w:style w:type="character" w:styleId="WW8Num64z0">
    <w:name w:val="WW8Num64z0"/>
    <w:qFormat/>
    <w:rPr>
      <w:rFonts w:ascii="Wingdings" w:hAnsi="Wingdings" w:cs="Wingdings"/>
    </w:rPr>
  </w:style>
  <w:style w:type="character" w:styleId="WW8Num65z0">
    <w:name w:val="WW8Num65z0"/>
    <w:qFormat/>
    <w:rPr>
      <w:rFonts w:ascii="Wingdings" w:hAnsi="Wingdings" w:cs="Wingdings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Wingdings" w:hAnsi="Wingdings" w:cs="Wingdings"/>
    </w:rPr>
  </w:style>
  <w:style w:type="character" w:styleId="WW8Num71z0">
    <w:name w:val="WW8Num71z0"/>
    <w:qFormat/>
    <w:rPr>
      <w:rFonts w:ascii="Wingdings" w:hAnsi="Wingdings" w:cs="Wingdings"/>
    </w:rPr>
  </w:style>
  <w:style w:type="character" w:styleId="WW8Num72z0">
    <w:name w:val="WW8Num72z0"/>
    <w:qFormat/>
    <w:rPr>
      <w:rFonts w:ascii="Symbol" w:hAnsi="Symbol" w:cs="Symbol"/>
    </w:rPr>
  </w:style>
  <w:style w:type="character" w:styleId="WW8Num73z0">
    <w:name w:val="WW8Num73z0"/>
    <w:qFormat/>
    <w:rPr>
      <w:rFonts w:ascii="Wingdings" w:hAnsi="Wingdings" w:cs="Wingdings"/>
    </w:rPr>
  </w:style>
  <w:style w:type="character" w:styleId="WW8Num74z0">
    <w:name w:val="WW8Num74z0"/>
    <w:qFormat/>
    <w:rPr>
      <w:rFonts w:ascii="Symbol" w:hAnsi="Symbol" w:cs="Symbol"/>
    </w:rPr>
  </w:style>
  <w:style w:type="character" w:styleId="WW8Num75z0">
    <w:name w:val="WW8Num75z0"/>
    <w:qFormat/>
    <w:rPr>
      <w:rFonts w:ascii="Wingdings" w:hAnsi="Wingdings" w:cs="Wingdings"/>
    </w:rPr>
  </w:style>
  <w:style w:type="character" w:styleId="WW8Num76z0">
    <w:name w:val="WW8Num76z0"/>
    <w:qFormat/>
    <w:rPr>
      <w:rFonts w:ascii="Symbol" w:hAnsi="Symbol" w:cs="Symbol"/>
    </w:rPr>
  </w:style>
  <w:style w:type="character" w:styleId="WW8Num77z0">
    <w:name w:val="WW8Num77z0"/>
    <w:qFormat/>
    <w:rPr>
      <w:rFonts w:ascii="Wingdings" w:hAnsi="Wingdings" w:cs="Wingdings"/>
    </w:rPr>
  </w:style>
  <w:style w:type="character" w:styleId="WW8Num78z0">
    <w:name w:val="WW8Num78z0"/>
    <w:qFormat/>
    <w:rPr>
      <w:rFonts w:ascii="Wingdings" w:hAnsi="Wingdings" w:cs="Wingdings"/>
    </w:rPr>
  </w:style>
  <w:style w:type="character" w:styleId="WW8Num79z0">
    <w:name w:val="WW8Num79z0"/>
    <w:qFormat/>
    <w:rPr>
      <w:rFonts w:ascii="Symbol" w:hAnsi="Symbol" w:cs="Symbol"/>
    </w:rPr>
  </w:style>
  <w:style w:type="character" w:styleId="WW8Num80z0">
    <w:name w:val="WW8Num80z0"/>
    <w:qFormat/>
    <w:rPr>
      <w:rFonts w:ascii="Symbol" w:hAnsi="Symbol" w:cs="Symbol"/>
    </w:rPr>
  </w:style>
  <w:style w:type="character" w:styleId="WW8Num81z0">
    <w:name w:val="WW8Num81z0"/>
    <w:qFormat/>
    <w:rPr>
      <w:rFonts w:ascii="Wingdings" w:hAnsi="Wingdings" w:cs="Wingdings"/>
    </w:rPr>
  </w:style>
  <w:style w:type="character" w:styleId="WW8Num82z0">
    <w:name w:val="WW8Num82z0"/>
    <w:qFormat/>
    <w:rPr>
      <w:rFonts w:ascii="Wingdings" w:hAnsi="Wingdings" w:cs="Wingdings"/>
    </w:rPr>
  </w:style>
  <w:style w:type="character" w:styleId="WW8Num83z0">
    <w:name w:val="WW8Num83z0"/>
    <w:qFormat/>
    <w:rPr>
      <w:rFonts w:ascii="Wingdings" w:hAnsi="Wingdings" w:cs="Wingdings"/>
    </w:rPr>
  </w:style>
  <w:style w:type="character" w:styleId="WW8Num84z0">
    <w:name w:val="WW8Num84z0"/>
    <w:qFormat/>
    <w:rPr>
      <w:rFonts w:ascii="Wingdings" w:hAnsi="Wingdings" w:cs="Wingdings"/>
    </w:rPr>
  </w:style>
  <w:style w:type="character" w:styleId="WW8Num85z0">
    <w:name w:val="WW8Num85z0"/>
    <w:qFormat/>
    <w:rPr>
      <w:rFonts w:ascii="Wingdings" w:hAnsi="Wingdings" w:cs="Wingdings"/>
    </w:rPr>
  </w:style>
  <w:style w:type="character" w:styleId="WW8Num86z0">
    <w:name w:val="WW8Num86z0"/>
    <w:qFormat/>
    <w:rPr>
      <w:rFonts w:ascii="Wingdings" w:hAnsi="Wingdings" w:cs="Wingdings"/>
    </w:rPr>
  </w:style>
  <w:style w:type="character" w:styleId="WW8Num87z0">
    <w:name w:val="WW8Num87z0"/>
    <w:qFormat/>
    <w:rPr>
      <w:rFonts w:ascii="Wingdings" w:hAnsi="Wingdings" w:cs="Wingdings"/>
    </w:rPr>
  </w:style>
  <w:style w:type="character" w:styleId="WW8Num88z0">
    <w:name w:val="WW8Num88z0"/>
    <w:qFormat/>
    <w:rPr>
      <w:rFonts w:ascii="Wingdings" w:hAnsi="Wingdings" w:cs="Wingdings"/>
    </w:rPr>
  </w:style>
  <w:style w:type="character" w:styleId="WW8Num89z0">
    <w:name w:val="WW8Num89z0"/>
    <w:qFormat/>
    <w:rPr>
      <w:rFonts w:ascii="Symbol" w:hAnsi="Symbol" w:cs="Symbol"/>
    </w:rPr>
  </w:style>
  <w:style w:type="character" w:styleId="WW8Num91z0">
    <w:name w:val="WW8Num91z0"/>
    <w:qFormat/>
    <w:rPr>
      <w:rFonts w:ascii="Wingdings" w:hAnsi="Wingdings" w:cs="Wingdings"/>
    </w:rPr>
  </w:style>
  <w:style w:type="character" w:styleId="WW8Num92z0">
    <w:name w:val="WW8Num92z0"/>
    <w:qFormat/>
    <w:rPr>
      <w:rFonts w:ascii="Wingdings" w:hAnsi="Wingdings" w:cs="Wingdings"/>
    </w:rPr>
  </w:style>
  <w:style w:type="character" w:styleId="WW8Num93z0">
    <w:name w:val="WW8Num93z0"/>
    <w:qFormat/>
    <w:rPr>
      <w:rFonts w:ascii="Wingdings" w:hAnsi="Wingdings" w:cs="Wingdings"/>
    </w:rPr>
  </w:style>
  <w:style w:type="character" w:styleId="WW8Num94z0">
    <w:name w:val="WW8Num94z0"/>
    <w:qFormat/>
    <w:rPr>
      <w:rFonts w:ascii="Symbol" w:hAnsi="Symbol" w:cs="Symbol"/>
    </w:rPr>
  </w:style>
  <w:style w:type="character" w:styleId="WW8Num95z0">
    <w:name w:val="WW8Num95z0"/>
    <w:qFormat/>
    <w:rPr>
      <w:rFonts w:ascii="Wingdings" w:hAnsi="Wingdings" w:cs="Wingdings"/>
    </w:rPr>
  </w:style>
  <w:style w:type="character" w:styleId="WW8Num97z0">
    <w:name w:val="WW8Num97z0"/>
    <w:qFormat/>
    <w:rPr>
      <w:rFonts w:ascii="Symbol" w:hAnsi="Symbol" w:cs="Symbol"/>
    </w:rPr>
  </w:style>
  <w:style w:type="character" w:styleId="WW8Num98z0">
    <w:name w:val="WW8Num98z0"/>
    <w:qFormat/>
    <w:rPr>
      <w:rFonts w:ascii="Symbol" w:hAnsi="Symbol" w:cs="Symbol"/>
      <w:color w:val="auto"/>
    </w:rPr>
  </w:style>
  <w:style w:type="character" w:styleId="WW8Num101z0">
    <w:name w:val="WW8Num101z0"/>
    <w:qFormat/>
    <w:rPr>
      <w:rFonts w:ascii="Wingdings" w:hAnsi="Wingdings" w:cs="Wingdings"/>
    </w:rPr>
  </w:style>
  <w:style w:type="character" w:styleId="WW8Num102z0">
    <w:name w:val="WW8Num102z0"/>
    <w:qFormat/>
    <w:rPr>
      <w:rFonts w:ascii="Wingdings" w:hAnsi="Wingdings" w:cs="Wingdings"/>
    </w:rPr>
  </w:style>
  <w:style w:type="character" w:styleId="WW8Num104z0">
    <w:name w:val="WW8Num104z0"/>
    <w:qFormat/>
    <w:rPr>
      <w:rFonts w:ascii="Symbol" w:hAnsi="Symbol" w:cs="Symbol"/>
    </w:rPr>
  </w:style>
  <w:style w:type="character" w:styleId="WW8Num106z0">
    <w:name w:val="WW8Num106z0"/>
    <w:qFormat/>
    <w:rPr>
      <w:rFonts w:ascii="Symbol" w:hAnsi="Symbol" w:cs="Symbol"/>
    </w:rPr>
  </w:style>
  <w:style w:type="character" w:styleId="WW8Num107z0">
    <w:name w:val="WW8Num107z0"/>
    <w:qFormat/>
    <w:rPr>
      <w:rFonts w:ascii="Wingdings" w:hAnsi="Wingdings" w:cs="Wingdings"/>
    </w:rPr>
  </w:style>
  <w:style w:type="character" w:styleId="WW8Num108z0">
    <w:name w:val="WW8Num108z0"/>
    <w:qFormat/>
    <w:rPr>
      <w:rFonts w:ascii="Symbol" w:hAnsi="Symbol" w:cs="Symbol"/>
    </w:rPr>
  </w:style>
  <w:style w:type="character" w:styleId="WW8Num109z0">
    <w:name w:val="WW8Num109z0"/>
    <w:qFormat/>
    <w:rPr>
      <w:rFonts w:ascii="Symbol" w:hAnsi="Symbol" w:cs="Symbol"/>
    </w:rPr>
  </w:style>
  <w:style w:type="character" w:styleId="WW8Num110z0">
    <w:name w:val="WW8Num110z0"/>
    <w:qFormat/>
    <w:rPr>
      <w:rFonts w:ascii="Symbol" w:hAnsi="Symbol" w:cs="Symbol"/>
    </w:rPr>
  </w:style>
  <w:style w:type="character" w:styleId="WW8Num111z0">
    <w:name w:val="WW8Num111z0"/>
    <w:qFormat/>
    <w:rPr>
      <w:rFonts w:ascii="Wingdings" w:hAnsi="Wingdings" w:cs="Wingdings"/>
    </w:rPr>
  </w:style>
  <w:style w:type="character" w:styleId="WW8Num112z0">
    <w:name w:val="WW8Num112z0"/>
    <w:qFormat/>
    <w:rPr>
      <w:rFonts w:ascii="Wingdings" w:hAnsi="Wingdings" w:cs="Wingdings"/>
    </w:rPr>
  </w:style>
  <w:style w:type="character" w:styleId="WW8Num113z0">
    <w:name w:val="WW8Num113z0"/>
    <w:qFormat/>
    <w:rPr>
      <w:rFonts w:ascii="Wingdings" w:hAnsi="Wingdings" w:cs="Wingdings"/>
    </w:rPr>
  </w:style>
  <w:style w:type="character" w:styleId="WW8Num114z0">
    <w:name w:val="WW8Num114z0"/>
    <w:qFormat/>
    <w:rPr>
      <w:rFonts w:ascii="Wingdings" w:hAnsi="Wingdings" w:cs="Wingdings"/>
    </w:rPr>
  </w:style>
  <w:style w:type="character" w:styleId="WW8Num115z0">
    <w:name w:val="WW8Num115z0"/>
    <w:qFormat/>
    <w:rPr>
      <w:rFonts w:ascii="Symbol" w:hAnsi="Symbol" w:cs="Symbol"/>
    </w:rPr>
  </w:style>
  <w:style w:type="character" w:styleId="WW8Num116z0">
    <w:name w:val="WW8Num116z0"/>
    <w:qFormat/>
    <w:rPr>
      <w:rFonts w:ascii="Wingdings" w:hAnsi="Wingdings" w:cs="Wingdings"/>
    </w:rPr>
  </w:style>
  <w:style w:type="character" w:styleId="WW8Num117z0">
    <w:name w:val="WW8Num117z0"/>
    <w:qFormat/>
    <w:rPr>
      <w:rFonts w:ascii="Symbol" w:hAnsi="Symbol" w:cs="Symbol"/>
    </w:rPr>
  </w:style>
  <w:style w:type="character" w:styleId="WW8Num118z0">
    <w:name w:val="WW8Num118z0"/>
    <w:qFormat/>
    <w:rPr>
      <w:rFonts w:ascii="Wingdings" w:hAnsi="Wingdings" w:cs="Wingdings"/>
    </w:rPr>
  </w:style>
  <w:style w:type="character" w:styleId="WW8Num119z0">
    <w:name w:val="WW8Num119z0"/>
    <w:qFormat/>
    <w:rPr>
      <w:rFonts w:ascii="Symbol" w:hAnsi="Symbol" w:cs="Symbol"/>
    </w:rPr>
  </w:style>
  <w:style w:type="character" w:styleId="WW8Num120z0">
    <w:name w:val="WW8Num120z0"/>
    <w:qFormat/>
    <w:rPr>
      <w:rFonts w:ascii="Symbol" w:hAnsi="Symbol" w:cs="Symbol"/>
    </w:rPr>
  </w:style>
  <w:style w:type="character" w:styleId="WW8Num121z0">
    <w:name w:val="WW8Num121z0"/>
    <w:qFormat/>
    <w:rPr>
      <w:rFonts w:ascii="Symbol" w:hAnsi="Symbol" w:cs="Symbol"/>
    </w:rPr>
  </w:style>
  <w:style w:type="character" w:styleId="WW8Num122z0">
    <w:name w:val="WW8Num122z0"/>
    <w:qFormat/>
    <w:rPr>
      <w:rFonts w:ascii="Wingdings" w:hAnsi="Wingdings" w:cs="Wingdings"/>
    </w:rPr>
  </w:style>
  <w:style w:type="character" w:styleId="WW8Num123z0">
    <w:name w:val="WW8Num123z0"/>
    <w:qFormat/>
    <w:rPr>
      <w:rFonts w:ascii="Wingdings" w:hAnsi="Wingdings" w:cs="Wingdings"/>
    </w:rPr>
  </w:style>
  <w:style w:type="character" w:styleId="WW8Num124z0">
    <w:name w:val="WW8Num124z0"/>
    <w:qFormat/>
    <w:rPr>
      <w:rFonts w:ascii="Wingdings" w:hAnsi="Wingdings" w:cs="Wingdings"/>
    </w:rPr>
  </w:style>
  <w:style w:type="character" w:styleId="WW8Num125z0">
    <w:name w:val="WW8Num125z0"/>
    <w:qFormat/>
    <w:rPr>
      <w:rFonts w:ascii="Wingdings" w:hAnsi="Wingdings" w:cs="Wingdings"/>
    </w:rPr>
  </w:style>
  <w:style w:type="character" w:styleId="WW8Num126z0">
    <w:name w:val="WW8Num126z0"/>
    <w:qFormat/>
    <w:rPr>
      <w:rFonts w:ascii="Wingdings" w:hAnsi="Wingdings" w:cs="Wingdings"/>
    </w:rPr>
  </w:style>
  <w:style w:type="character" w:styleId="WW8Num128z0">
    <w:name w:val="WW8Num128z0"/>
    <w:qFormat/>
    <w:rPr>
      <w:rFonts w:ascii="Wingdings" w:hAnsi="Wingdings" w:cs="Wingdings"/>
    </w:rPr>
  </w:style>
  <w:style w:type="character" w:styleId="WW8Num129z0">
    <w:name w:val="WW8Num129z0"/>
    <w:qFormat/>
    <w:rPr>
      <w:rFonts w:ascii="Wingdings" w:hAnsi="Wingdings" w:cs="Wingdings"/>
    </w:rPr>
  </w:style>
  <w:style w:type="character" w:styleId="WW8Num130z0">
    <w:name w:val="WW8Num130z0"/>
    <w:qFormat/>
    <w:rPr>
      <w:rFonts w:ascii="Symbol" w:hAnsi="Symbol" w:cs="Symbol"/>
      <w:color w:val="auto"/>
    </w:rPr>
  </w:style>
  <w:style w:type="character" w:styleId="WW8Num131z0">
    <w:name w:val="WW8Num131z0"/>
    <w:qFormat/>
    <w:rPr>
      <w:rFonts w:ascii="Wingdings" w:hAnsi="Wingdings" w:cs="Wingdings"/>
    </w:rPr>
  </w:style>
  <w:style w:type="character" w:styleId="WW8Num132z0">
    <w:name w:val="WW8Num132z0"/>
    <w:qFormat/>
    <w:rPr>
      <w:rFonts w:ascii="Wingdings" w:hAnsi="Wingdings" w:cs="Wingdings"/>
    </w:rPr>
  </w:style>
  <w:style w:type="character" w:styleId="WW8Num133z0">
    <w:name w:val="WW8Num133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  <w:style w:type="numbering" w:styleId="WW8Num84">
    <w:name w:val="WW8Num84"/>
    <w:qFormat/>
  </w:style>
  <w:style w:type="numbering" w:styleId="WW8Num85">
    <w:name w:val="WW8Num85"/>
    <w:qFormat/>
  </w:style>
  <w:style w:type="numbering" w:styleId="WW8Num86">
    <w:name w:val="WW8Num86"/>
    <w:qFormat/>
  </w:style>
  <w:style w:type="numbering" w:styleId="WW8Num87">
    <w:name w:val="WW8Num87"/>
    <w:qFormat/>
  </w:style>
  <w:style w:type="numbering" w:styleId="WW8Num88">
    <w:name w:val="WW8Num88"/>
    <w:qFormat/>
  </w:style>
  <w:style w:type="numbering" w:styleId="WW8Num89">
    <w:name w:val="WW8Num89"/>
    <w:qFormat/>
  </w:style>
  <w:style w:type="numbering" w:styleId="WW8Num90">
    <w:name w:val="WW8Num90"/>
    <w:qFormat/>
  </w:style>
  <w:style w:type="numbering" w:styleId="WW8Num91">
    <w:name w:val="WW8Num91"/>
    <w:qFormat/>
  </w:style>
  <w:style w:type="numbering" w:styleId="WW8Num92">
    <w:name w:val="WW8Num92"/>
    <w:qFormat/>
  </w:style>
  <w:style w:type="numbering" w:styleId="WW8Num93">
    <w:name w:val="WW8Num93"/>
    <w:qFormat/>
  </w:style>
  <w:style w:type="numbering" w:styleId="WW8Num94">
    <w:name w:val="WW8Num94"/>
    <w:qFormat/>
  </w:style>
  <w:style w:type="numbering" w:styleId="WW8Num95">
    <w:name w:val="WW8Num95"/>
    <w:qFormat/>
  </w:style>
  <w:style w:type="numbering" w:styleId="WW8Num96">
    <w:name w:val="WW8Num96"/>
    <w:qFormat/>
  </w:style>
  <w:style w:type="numbering" w:styleId="WW8Num97">
    <w:name w:val="WW8Num97"/>
    <w:qFormat/>
  </w:style>
  <w:style w:type="numbering" w:styleId="WW8Num98">
    <w:name w:val="WW8Num98"/>
    <w:qFormat/>
  </w:style>
  <w:style w:type="numbering" w:styleId="WW8Num99">
    <w:name w:val="WW8Num99"/>
    <w:qFormat/>
  </w:style>
  <w:style w:type="numbering" w:styleId="WW8Num100">
    <w:name w:val="WW8Num100"/>
    <w:qFormat/>
  </w:style>
  <w:style w:type="numbering" w:styleId="WW8Num101">
    <w:name w:val="WW8Num101"/>
    <w:qFormat/>
  </w:style>
  <w:style w:type="numbering" w:styleId="WW8Num102">
    <w:name w:val="WW8Num102"/>
    <w:qFormat/>
  </w:style>
  <w:style w:type="numbering" w:styleId="WW8Num103">
    <w:name w:val="WW8Num103"/>
    <w:qFormat/>
  </w:style>
  <w:style w:type="numbering" w:styleId="WW8Num104">
    <w:name w:val="WW8Num104"/>
    <w:qFormat/>
  </w:style>
  <w:style w:type="numbering" w:styleId="WW8Num105">
    <w:name w:val="WW8Num105"/>
    <w:qFormat/>
  </w:style>
  <w:style w:type="numbering" w:styleId="WW8Num106">
    <w:name w:val="WW8Num106"/>
    <w:qFormat/>
  </w:style>
  <w:style w:type="numbering" w:styleId="WW8Num107">
    <w:name w:val="WW8Num107"/>
    <w:qFormat/>
  </w:style>
  <w:style w:type="numbering" w:styleId="WW8Num108">
    <w:name w:val="WW8Num108"/>
    <w:qFormat/>
  </w:style>
  <w:style w:type="numbering" w:styleId="WW8Num109">
    <w:name w:val="WW8Num109"/>
    <w:qFormat/>
  </w:style>
  <w:style w:type="numbering" w:styleId="WW8Num110">
    <w:name w:val="WW8Num110"/>
    <w:qFormat/>
  </w:style>
  <w:style w:type="numbering" w:styleId="WW8Num111">
    <w:name w:val="WW8Num111"/>
    <w:qFormat/>
  </w:style>
  <w:style w:type="numbering" w:styleId="WW8Num112">
    <w:name w:val="WW8Num112"/>
    <w:qFormat/>
  </w:style>
  <w:style w:type="numbering" w:styleId="WW8Num113">
    <w:name w:val="WW8Num113"/>
    <w:qFormat/>
  </w:style>
  <w:style w:type="numbering" w:styleId="WW8Num114">
    <w:name w:val="WW8Num114"/>
    <w:qFormat/>
  </w:style>
  <w:style w:type="numbering" w:styleId="WW8Num115">
    <w:name w:val="WW8Num115"/>
    <w:qFormat/>
  </w:style>
  <w:style w:type="numbering" w:styleId="WW8Num116">
    <w:name w:val="WW8Num116"/>
    <w:qFormat/>
  </w:style>
  <w:style w:type="numbering" w:styleId="WW8Num117">
    <w:name w:val="WW8Num117"/>
    <w:qFormat/>
  </w:style>
  <w:style w:type="numbering" w:styleId="WW8Num118">
    <w:name w:val="WW8Num118"/>
    <w:qFormat/>
  </w:style>
  <w:style w:type="numbering" w:styleId="WW8Num119">
    <w:name w:val="WW8Num119"/>
    <w:qFormat/>
  </w:style>
  <w:style w:type="numbering" w:styleId="WW8Num120">
    <w:name w:val="WW8Num120"/>
    <w:qFormat/>
  </w:style>
  <w:style w:type="numbering" w:styleId="WW8Num121">
    <w:name w:val="WW8Num121"/>
    <w:qFormat/>
  </w:style>
  <w:style w:type="numbering" w:styleId="WW8Num122">
    <w:name w:val="WW8Num122"/>
    <w:qFormat/>
  </w:style>
  <w:style w:type="numbering" w:styleId="WW8Num123">
    <w:name w:val="WW8Num123"/>
    <w:qFormat/>
  </w:style>
  <w:style w:type="numbering" w:styleId="WW8Num124">
    <w:name w:val="WW8Num124"/>
    <w:qFormat/>
  </w:style>
  <w:style w:type="numbering" w:styleId="WW8Num125">
    <w:name w:val="WW8Num125"/>
    <w:qFormat/>
  </w:style>
  <w:style w:type="numbering" w:styleId="WW8Num126">
    <w:name w:val="WW8Num126"/>
    <w:qFormat/>
  </w:style>
  <w:style w:type="numbering" w:styleId="WW8Num127">
    <w:name w:val="WW8Num127"/>
    <w:qFormat/>
  </w:style>
  <w:style w:type="numbering" w:styleId="WW8Num128">
    <w:name w:val="WW8Num128"/>
    <w:qFormat/>
  </w:style>
  <w:style w:type="numbering" w:styleId="WW8Num129">
    <w:name w:val="WW8Num129"/>
    <w:qFormat/>
  </w:style>
  <w:style w:type="numbering" w:styleId="WW8Num130">
    <w:name w:val="WW8Num130"/>
    <w:qFormat/>
  </w:style>
  <w:style w:type="numbering" w:styleId="WW8Num131">
    <w:name w:val="WW8Num131"/>
    <w:qFormat/>
  </w:style>
  <w:style w:type="numbering" w:styleId="WW8Num132">
    <w:name w:val="WW8Num132"/>
    <w:qFormat/>
  </w:style>
  <w:style w:type="numbering" w:styleId="WW8Num133">
    <w:name w:val="WW8Num13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2000-12-12T19:28:00Z</dcterms:created>
  <dc:creator>jrub</dc:creator>
  <dc:description/>
  <dc:language>en-CA</dc:language>
  <cp:lastModifiedBy>aflecke</cp:lastModifiedBy>
  <cp:lastPrinted>2000-12-12T15:50:00Z</cp:lastPrinted>
  <dcterms:modified xsi:type="dcterms:W3CDTF">2000-12-12T19:28:00Z</dcterms:modified>
  <cp:revision>2</cp:revision>
  <dc:subject/>
  <dc:title>“Keep the wheels on…”</dc:title>
</cp:coreProperties>
</file>