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Palatino Linotype" w:hAnsi="Palatino Linotype" w:cs="Palatino Linotype"/>
        </w:rPr>
      </w:pPr>
      <w:r>
        <w:rPr>
          <w:rFonts w:cs="Palatino Linotype" w:ascii="Palatino Linotype" w:hAnsi="Palatino Linotype"/>
        </w:rPr>
      </w:r>
    </w:p>
    <w:p>
      <w:pPr>
        <w:pStyle w:val="Normal"/>
        <w:rPr>
          <w:rFonts w:ascii="Palatino Linotype" w:hAnsi="Palatino Linotype" w:cs="Palatino Linotype"/>
        </w:rPr>
      </w:pPr>
      <w:r>
        <w:rPr>
          <w:rFonts w:cs="Palatino Linotype" w:ascii="Palatino Linotype" w:hAnsi="Palatino Linotype"/>
        </w:rPr>
        <w:drawing>
          <wp:inline distT="0" distB="0" distL="0" distR="0">
            <wp:extent cx="1847850" cy="1654175"/>
            <wp:effectExtent l="0" t="0" r="0" b="0"/>
            <wp:docPr id="1" name="alam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amo" descr="" title=""/>
                    <pic:cNvPicPr>
                      <a:picLocks noChangeAspect="1" noChangeArrowheads="1"/>
                    </pic:cNvPicPr>
                  </pic:nvPicPr>
                  <pic:blipFill>
                    <a:blip r:embed="rId2"/>
                    <a:stretch>
                      <a:fillRect/>
                    </a:stretch>
                  </pic:blipFill>
                  <pic:spPr bwMode="auto">
                    <a:xfrm>
                      <a:off x="0" y="0"/>
                      <a:ext cx="1847850" cy="1654175"/>
                    </a:xfrm>
                    <a:prstGeom prst="rect">
                      <a:avLst/>
                    </a:prstGeom>
                    <a:noFill/>
                    <a:ln w="19050">
                      <a:solidFill>
                        <a:srgbClr val="008000"/>
                      </a:solidFill>
                    </a:ln>
                  </pic:spPr>
                </pic:pic>
              </a:graphicData>
            </a:graphic>
          </wp:inline>
        </w:drawing>
      </w:r>
      <w:r>
        <w:rPr>
          <w:rFonts w:eastAsia="Palatino Linotype" w:cs="Palatino Linotype" w:ascii="Palatino Linotype" w:hAnsi="Palatino Linotype"/>
        </w:rPr>
        <w:t xml:space="preserve">                         </w:t>
      </w:r>
      <w:r>
        <w:rPr>
          <w:rFonts w:cs="Arial" w:ascii="Arial" w:hAnsi="Arial"/>
          <w:color w:val="000000"/>
          <w:sz w:val="20"/>
        </w:rPr>
        <w:drawing>
          <wp:inline distT="0" distB="0" distL="0" distR="0">
            <wp:extent cx="914400" cy="911225"/>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41" t="-51" r="-41" b="-51"/>
                    <a:stretch>
                      <a:fillRect/>
                    </a:stretch>
                  </pic:blipFill>
                  <pic:spPr bwMode="auto">
                    <a:xfrm>
                      <a:off x="0" y="0"/>
                      <a:ext cx="914400" cy="911225"/>
                    </a:xfrm>
                    <a:prstGeom prst="rect">
                      <a:avLst/>
                    </a:prstGeom>
                    <a:noFill/>
                  </pic:spPr>
                </pic:pic>
              </a:graphicData>
            </a:graphic>
          </wp:inline>
        </w:drawing>
      </w:r>
      <w:r>
        <w:rPr>
          <w:rFonts w:eastAsia="Palatino Linotype" w:cs="Palatino Linotype" w:ascii="Palatino Linotype" w:hAnsi="Palatino Linotype"/>
        </w:rPr>
        <w:t xml:space="preserve">                 </w:t>
      </w:r>
      <w:r>
        <w:rPr>
          <w:rFonts w:cs="Palatino Linotype" w:ascii="Palatino Linotype" w:hAnsi="Palatino Linotype"/>
        </w:rPr>
        <w:drawing>
          <wp:inline distT="0" distB="0" distL="0" distR="0">
            <wp:extent cx="1939925" cy="1733550"/>
            <wp:effectExtent l="0" t="0" r="0" b="0"/>
            <wp:docPr id="3" name="riverboat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iverboat3" descr="" title=""/>
                    <pic:cNvPicPr>
                      <a:picLocks noChangeAspect="1" noChangeArrowheads="1"/>
                    </pic:cNvPicPr>
                  </pic:nvPicPr>
                  <pic:blipFill>
                    <a:blip r:embed="rId4"/>
                    <a:stretch>
                      <a:fillRect/>
                    </a:stretch>
                  </pic:blipFill>
                  <pic:spPr bwMode="auto">
                    <a:xfrm>
                      <a:off x="0" y="0"/>
                      <a:ext cx="1939925" cy="1733550"/>
                    </a:xfrm>
                    <a:prstGeom prst="rect">
                      <a:avLst/>
                    </a:prstGeom>
                    <a:noFill/>
                    <a:ln w="19050">
                      <a:solidFill>
                        <a:srgbClr val="008000"/>
                      </a:solidFill>
                    </a:ln>
                  </pic:spPr>
                </pic:pic>
              </a:graphicData>
            </a:graphic>
          </wp:inline>
        </w:drawing>
      </w:r>
    </w:p>
    <w:p>
      <w:pPr>
        <w:pStyle w:val="Normal"/>
        <w:rPr>
          <w:rFonts w:ascii="Palatino Linotype" w:hAnsi="Palatino Linotype" w:cs="Palatino Linotype"/>
        </w:rPr>
      </w:pPr>
      <w:r>
        <w:rPr>
          <w:rFonts w:cs="Palatino Linotype" w:ascii="Palatino Linotype" w:hAnsi="Palatino Linotype"/>
        </w:rPr>
      </w:r>
    </w:p>
    <w:p>
      <w:pPr>
        <w:pStyle w:val="Heading1"/>
        <w:ind w:hanging="0" w:start="0"/>
        <w:jc w:val="center"/>
        <w:rPr>
          <w:rFonts w:ascii="Tempus Sans ITC" w:hAnsi="Tempus Sans ITC" w:cs="Tempus Sans ITC"/>
          <w:color w:val="FF0000"/>
          <w:sz w:val="44"/>
        </w:rPr>
      </w:pPr>
      <w:r>
        <w:rPr>
          <w:rFonts w:cs="Tempus Sans ITC" w:ascii="Tempus Sans ITC" w:hAnsi="Tempus Sans ITC"/>
          <w:color w:val="FF0000"/>
          <w:sz w:val="44"/>
        </w:rPr>
        <w:t>Enron Law Conference</w:t>
      </w:r>
    </w:p>
    <w:p>
      <w:pPr>
        <w:pStyle w:val="Normal"/>
        <w:jc w:val="center"/>
        <w:rPr>
          <w:rFonts w:ascii="Tempus Sans ITC" w:hAnsi="Tempus Sans ITC" w:cs="Tempus Sans ITC"/>
          <w:b/>
          <w:bCs/>
          <w:color w:val="FF0000"/>
          <w:sz w:val="44"/>
        </w:rPr>
      </w:pPr>
      <w:r>
        <w:rPr>
          <w:rFonts w:cs="Tempus Sans ITC" w:ascii="Tempus Sans ITC" w:hAnsi="Tempus Sans ITC"/>
          <w:b/>
          <w:bCs/>
          <w:color w:val="FF0000"/>
          <w:sz w:val="44"/>
        </w:rPr>
        <w:t>2001</w:t>
      </w:r>
    </w:p>
    <w:p>
      <w:pPr>
        <w:pStyle w:val="Normal"/>
        <w:rPr>
          <w:rFonts w:ascii="Tempus Sans ITC" w:hAnsi="Tempus Sans ITC" w:cs="Tempus Sans ITC"/>
          <w:b/>
          <w:bCs/>
          <w:color w:val="008000"/>
          <w:sz w:val="44"/>
        </w:rPr>
      </w:pPr>
      <w:r>
        <w:rPr>
          <w:rFonts w:cs="Tempus Sans ITC" w:ascii="Tempus Sans ITC" w:hAnsi="Tempus Sans ITC"/>
          <w:b/>
          <w:bCs/>
          <w:color w:val="008000"/>
          <w:sz w:val="44"/>
        </w:rPr>
      </w:r>
    </w:p>
    <w:p>
      <w:pPr>
        <w:pStyle w:val="Normal"/>
        <w:rPr>
          <w:rFonts w:ascii="Tempus Sans ITC" w:hAnsi="Tempus Sans ITC" w:cs="Tempus Sans ITC"/>
          <w:color w:val="008000"/>
        </w:rPr>
      </w:pPr>
      <w:r>
        <w:rPr>
          <w:rFonts w:cs="Tempus Sans ITC" w:ascii="Tempus Sans ITC" w:hAnsi="Tempus Sans ITC"/>
          <w:color w:val="008000"/>
        </w:rPr>
        <w:t>March 9, 2001</w:t>
      </w:r>
    </w:p>
    <w:p>
      <w:pPr>
        <w:pStyle w:val="Normal"/>
        <w:rPr>
          <w:rFonts w:ascii="Tempus Sans ITC" w:hAnsi="Tempus Sans ITC" w:cs="Tempus Sans ITC"/>
          <w:color w:val="008000"/>
        </w:rPr>
      </w:pPr>
      <w:r>
        <w:rPr>
          <w:rFonts w:cs="Tempus Sans ITC" w:ascii="Tempus Sans ITC" w:hAnsi="Tempus Sans ITC"/>
          <w:color w:val="008000"/>
        </w:rPr>
      </w:r>
    </w:p>
    <w:p>
      <w:pPr>
        <w:pStyle w:val="Normal"/>
        <w:ind w:hanging="1080" w:start="1080" w:end="0"/>
        <w:rPr>
          <w:rFonts w:ascii="Tempus Sans ITC" w:hAnsi="Tempus Sans ITC" w:cs="Tempus Sans ITC"/>
          <w:color w:val="008000"/>
        </w:rPr>
      </w:pPr>
      <w:r>
        <w:rPr>
          <w:rFonts w:cs="Tempus Sans ITC" w:ascii="Tempus Sans ITC" w:hAnsi="Tempus Sans ITC"/>
          <w:color w:val="008000"/>
        </w:rPr>
        <w:t>To:</w:t>
        <w:tab/>
        <w:t>All Law Conference Attendees</w:t>
      </w:r>
    </w:p>
    <w:p>
      <w:pPr>
        <w:pStyle w:val="Normal"/>
        <w:ind w:hanging="1080" w:start="1080" w:end="0"/>
        <w:rPr>
          <w:rFonts w:ascii="Tempus Sans ITC" w:hAnsi="Tempus Sans ITC" w:cs="Tempus Sans ITC"/>
          <w:color w:val="008000"/>
        </w:rPr>
      </w:pPr>
      <w:r>
        <w:rPr>
          <w:rFonts w:cs="Tempus Sans ITC" w:ascii="Tempus Sans ITC" w:hAnsi="Tempus Sans ITC"/>
          <w:color w:val="008000"/>
        </w:rPr>
        <w:t>From:</w:t>
        <w:tab/>
        <w:t>Elizabeth Labanowski, Sara Davidson, Paulette Obrecht &amp; Fran Berg</w:t>
      </w:r>
    </w:p>
    <w:p>
      <w:pPr>
        <w:pStyle w:val="Normal"/>
        <w:ind w:hanging="1080" w:start="1080" w:end="0"/>
        <w:rPr>
          <w:rFonts w:ascii="Tempus Sans ITC" w:hAnsi="Tempus Sans ITC" w:cs="Tempus Sans ITC"/>
          <w:color w:val="008000"/>
        </w:rPr>
      </w:pPr>
      <w:r>
        <w:rPr>
          <w:rFonts w:cs="Tempus Sans ITC" w:ascii="Tempus Sans ITC" w:hAnsi="Tempus Sans ITC"/>
          <w:color w:val="008000"/>
        </w:rPr>
        <w:t>Re:</w:t>
        <w:tab/>
        <w:t>2001 Enron Law Conference</w:t>
      </w:r>
    </w:p>
    <w:p>
      <w:pPr>
        <w:pStyle w:val="Heading1"/>
        <w:ind w:hanging="0" w:start="0"/>
        <w:rPr>
          <w:rFonts w:ascii="Tempus Sans ITC" w:hAnsi="Tempus Sans ITC" w:cs="Tempus Sans ITC"/>
          <w:color w:val="008000"/>
        </w:rPr>
      </w:pPr>
      <w:r>
        <w:rPr>
          <w:rFonts w:cs="Tempus Sans ITC" w:ascii="Tempus Sans ITC" w:hAnsi="Tempus Sans ITC"/>
          <w:color w:val="008000"/>
        </w:rPr>
      </w:r>
    </w:p>
    <w:p>
      <w:pPr>
        <w:pStyle w:val="Normal"/>
        <w:ind w:firstLine="720" w:end="0"/>
        <w:jc w:val="both"/>
        <w:rPr/>
      </w:pPr>
      <w:r>
        <w:rPr>
          <w:rFonts w:cs="Tempus Sans ITC" w:ascii="Tempus Sans ITC" w:hAnsi="Tempus Sans ITC"/>
        </w:rPr>
        <w:t xml:space="preserve">This year’s Law Conference will be held May 2-4 at the Westin Riverwalk in San Antonio, Texas.  You are in for a great time while earning CLE credits this year!  Registration for the conference will be handled only through an Online RSVP Form rather than a hard copy as in the past.  THE WEBSITE WILL BE OPERATIONAL AS OF MARCH 15, 2001.  If you have difficulty accessing the RSVP Form, e-mail Sara Davidson at </w:t>
      </w:r>
      <w:hyperlink r:id="rId5">
        <w:r>
          <w:rPr>
            <w:rStyle w:val="Hyperlink"/>
            <w:rFonts w:cs="Tempus Sans ITC" w:ascii="Tempus Sans ITC" w:hAnsi="Tempus Sans ITC"/>
          </w:rPr>
          <w:t>sara.davidson@enron.com</w:t>
        </w:r>
      </w:hyperlink>
      <w:r>
        <w:rPr>
          <w:rFonts w:cs="Tempus Sans ITC" w:ascii="Tempus Sans ITC" w:hAnsi="Tempus Sans ITC"/>
        </w:rPr>
        <w:t xml:space="preserve">.   All the conference information can be accessed at </w:t>
      </w:r>
      <w:hyperlink r:id="rId6">
        <w:r>
          <w:rPr>
            <w:rStyle w:val="Hyperlink"/>
            <w:rFonts w:cs="Tempus Sans ITC" w:ascii="Tempus Sans ITC" w:hAnsi="Tempus Sans ITC"/>
          </w:rPr>
          <w:t>http://lawconference.corp.enron.com</w:t>
        </w:r>
      </w:hyperlink>
      <w:r>
        <w:rPr>
          <w:rFonts w:cs="Tempus Sans ITC" w:ascii="Tempus Sans ITC" w:hAnsi="Tempus Sans ITC"/>
        </w:rPr>
        <w:t xml:space="preserve"> -- the Official 2001 Enron Law Conference Website.  Check it out! </w:t>
      </w:r>
    </w:p>
    <w:p>
      <w:pPr>
        <w:pStyle w:val="Normal"/>
        <w:ind w:firstLine="720" w:end="0"/>
        <w:jc w:val="both"/>
        <w:rPr>
          <w:rFonts w:ascii="Tempus Sans ITC" w:hAnsi="Tempus Sans ITC" w:cs="Tempus Sans ITC"/>
        </w:rPr>
      </w:pPr>
      <w:r>
        <w:rPr>
          <w:rFonts w:cs="Tempus Sans ITC" w:ascii="Tempus Sans ITC" w:hAnsi="Tempus Sans ITC"/>
        </w:rPr>
      </w:r>
    </w:p>
    <w:p>
      <w:pPr>
        <w:pStyle w:val="BodyTextIndent"/>
        <w:rPr/>
      </w:pPr>
      <w:r>
        <w:rPr/>
        <w:t xml:space="preserve">Instead of the bulky, heavy and unmanageable Law Conference Binders, all presentation handouts can be accessed on the Law Conference Website prior to the conference.  No binders and hard copies will be provided at the meeting.  Each participant will be able to print a hard copy of any material they desire.  This information will also be available after the conference. </w:t>
      </w:r>
    </w:p>
    <w:p>
      <w:pPr>
        <w:pStyle w:val="Normal"/>
        <w:ind w:firstLine="720" w:end="0"/>
        <w:jc w:val="both"/>
        <w:rPr>
          <w:rFonts w:ascii="Tempus Sans ITC" w:hAnsi="Tempus Sans ITC" w:cs="Tempus Sans ITC"/>
        </w:rPr>
      </w:pPr>
      <w:r>
        <w:rPr>
          <w:rFonts w:cs="Tempus Sans ITC" w:ascii="Tempus Sans ITC" w:hAnsi="Tempus Sans ITC"/>
        </w:rPr>
      </w:r>
    </w:p>
    <w:p>
      <w:pPr>
        <w:pStyle w:val="Normal"/>
        <w:ind w:firstLine="720" w:end="0"/>
        <w:jc w:val="both"/>
        <w:rPr>
          <w:rFonts w:ascii="Tempus Sans ITC" w:hAnsi="Tempus Sans ITC" w:cs="Tempus Sans ITC"/>
        </w:rPr>
      </w:pPr>
      <w:r>
        <w:rPr>
          <w:rFonts w:cs="Tempus Sans ITC" w:ascii="Tempus Sans ITC" w:hAnsi="Tempus Sans ITC"/>
        </w:rPr>
        <w:t>The conference begins Wednesday at 5:00pm in the hotel. Cocktails will be served as you pick up your conference packets from 5:00-7:00p.m.  Dinner on Wednesday is on your own.</w:t>
      </w:r>
    </w:p>
    <w:p>
      <w:pPr>
        <w:pStyle w:val="Normal"/>
        <w:jc w:val="both"/>
        <w:rPr>
          <w:rFonts w:ascii="Tempus Sans ITC" w:hAnsi="Tempus Sans ITC" w:cs="Tempus Sans ITC"/>
        </w:rPr>
      </w:pPr>
      <w:r>
        <w:rPr>
          <w:rFonts w:cs="Tempus Sans ITC" w:ascii="Tempus Sans ITC" w:hAnsi="Tempus Sans ITC"/>
        </w:rPr>
      </w:r>
    </w:p>
    <w:p>
      <w:pPr>
        <w:pStyle w:val="Normal"/>
        <w:ind w:firstLine="720" w:end="0"/>
        <w:jc w:val="both"/>
        <w:rPr/>
      </w:pPr>
      <w:r>
        <w:rPr>
          <w:rFonts w:cs="Tempus Sans ITC" w:ascii="Tempus Sans ITC" w:hAnsi="Tempus Sans ITC"/>
        </w:rPr>
        <w:t>You are responsible for providing your own transportation to and from the conference.  Hotel room rates will be $170.00 single or double</w:t>
      </w:r>
      <w:r>
        <w:rPr>
          <w:rFonts w:cs="Futura Md BT;Lucida Sans Unicode" w:ascii="Futura Md BT;Lucida Sans Unicode" w:hAnsi="Futura Md BT;Lucida Sans Unicode"/>
          <w:b/>
        </w:rPr>
        <w:t xml:space="preserve">.  </w:t>
      </w:r>
      <w:r>
        <w:rPr>
          <w:rFonts w:cs="Arial" w:ascii="Futura Md BT;Lucida Sans Unicode" w:hAnsi="Futura Md BT;Lucida Sans Unicode"/>
          <w:bCs/>
          <w:color w:val="FF0000"/>
        </w:rPr>
        <w:t>DO NOT CALL THE HOTEL.  ALL RESERVATIONS ARE TO BE MADE THROUGH THE ONLINE RSVP FORM.</w:t>
      </w:r>
      <w:r>
        <w:rPr>
          <w:rFonts w:cs="Comic Sans MS" w:ascii="Comic Sans MS" w:hAnsi="Comic Sans MS"/>
        </w:rPr>
        <w:t xml:space="preserve"> </w:t>
      </w:r>
      <w:r>
        <w:rPr>
          <w:rFonts w:cs="Tempus Sans ITC" w:ascii="Tempus Sans ITC" w:hAnsi="Tempus Sans ITC"/>
        </w:rPr>
        <w:t xml:space="preserve">Travel and room costs will be the responsibility of each attendee.  These costs are reimbursable to you on your Enron expense account.   </w:t>
      </w:r>
    </w:p>
    <w:p>
      <w:pPr>
        <w:pStyle w:val="Normal"/>
        <w:jc w:val="both"/>
        <w:rPr>
          <w:rFonts w:ascii="Tempus Sans ITC" w:hAnsi="Tempus Sans ITC" w:cs="Tempus Sans ITC"/>
        </w:rPr>
      </w:pPr>
      <w:r>
        <w:rPr>
          <w:rFonts w:cs="Tempus Sans ITC" w:ascii="Tempus Sans ITC" w:hAnsi="Tempus Sans ITC"/>
        </w:rPr>
      </w:r>
    </w:p>
    <w:p>
      <w:pPr>
        <w:pStyle w:val="Normal"/>
        <w:ind w:firstLine="720" w:end="0"/>
        <w:jc w:val="both"/>
        <w:rPr>
          <w:rFonts w:ascii="Tempus Sans ITC" w:hAnsi="Tempus Sans ITC" w:cs="Tempus Sans ITC"/>
        </w:rPr>
      </w:pPr>
      <w:r>
        <w:rPr>
          <w:rFonts w:cs="Tempus Sans ITC" w:ascii="Tempus Sans ITC" w:hAnsi="Tempus Sans ITC"/>
        </w:rPr>
        <w:t>Rooms are available two days prior to the conference dates for those traveling from around the world.  Please let us know on the Online RSVP Form that you wish to arrive early.</w:t>
      </w:r>
    </w:p>
    <w:p>
      <w:pPr>
        <w:pStyle w:val="Normal"/>
        <w:jc w:val="both"/>
        <w:rPr>
          <w:rFonts w:ascii="Tempus Sans ITC" w:hAnsi="Tempus Sans ITC" w:eastAsia="Tempus Sans ITC" w:cs="Tempus Sans ITC"/>
        </w:rPr>
      </w:pPr>
      <w:r>
        <w:rPr>
          <w:rFonts w:eastAsia="Tempus Sans ITC" w:cs="Tempus Sans ITC" w:ascii="Tempus Sans ITC" w:hAnsi="Tempus Sans ITC"/>
        </w:rPr>
        <w:t xml:space="preserve"> </w:t>
      </w:r>
    </w:p>
    <w:p>
      <w:pPr>
        <w:pStyle w:val="Normal"/>
        <w:ind w:firstLine="720" w:end="0"/>
        <w:jc w:val="both"/>
        <w:rPr>
          <w:rFonts w:ascii="Tempus Sans ITC" w:hAnsi="Tempus Sans ITC" w:cs="Tempus Sans ITC"/>
        </w:rPr>
      </w:pPr>
      <w:r>
        <w:rPr>
          <w:rFonts w:cs="Tempus Sans ITC" w:ascii="Tempus Sans ITC" w:hAnsi="Tempus Sans ITC"/>
        </w:rPr>
        <w:t xml:space="preserve">The seminar begins Thursday morning promptly at 8:00a.m. and ends at 11:30a.m.  The seminar continues on Friday at 8:00a.m. and concludes at 12:30p.m. The CLE Committee has been hard at work and has acquired excellent speakers with a great agenda, so please be on time!  </w:t>
      </w:r>
    </w:p>
    <w:p>
      <w:pPr>
        <w:pStyle w:val="Normal"/>
        <w:ind w:firstLine="720" w:end="0"/>
        <w:jc w:val="both"/>
        <w:rPr>
          <w:rFonts w:ascii="Tempus Sans ITC" w:hAnsi="Tempus Sans ITC" w:cs="Tempus Sans ITC"/>
        </w:rPr>
      </w:pPr>
      <w:r>
        <w:rPr>
          <w:rFonts w:cs="Tempus Sans ITC" w:ascii="Tempus Sans ITC" w:hAnsi="Tempus Sans ITC"/>
        </w:rPr>
      </w:r>
    </w:p>
    <w:p>
      <w:pPr>
        <w:pStyle w:val="Normal"/>
        <w:ind w:firstLine="720" w:end="0"/>
        <w:jc w:val="both"/>
        <w:rPr>
          <w:rFonts w:ascii="Tempus Sans ITC" w:hAnsi="Tempus Sans ITC" w:cs="Tempus Sans ITC"/>
        </w:rPr>
      </w:pPr>
      <w:r>
        <w:rPr>
          <w:rFonts w:cs="Tempus Sans ITC" w:ascii="Tempus Sans ITC" w:hAnsi="Tempus Sans ITC"/>
        </w:rPr>
        <w:t>Thursday afternoon has been set aside for some very enjoyable recreational activities.  Submit your RSVP Form online quickly to assure that you will get your first choice.  Because most of the events take several hours, please sign up for only one choice.  Here are the activities that are being offered this year:</w:t>
      </w:r>
    </w:p>
    <w:p>
      <w:pPr>
        <w:pStyle w:val="Normal"/>
        <w:jc w:val="both"/>
        <w:rPr>
          <w:rFonts w:ascii="Tempus Sans ITC" w:hAnsi="Tempus Sans ITC" w:cs="Tempus Sans ITC"/>
        </w:rPr>
      </w:pPr>
      <w:r>
        <w:rPr>
          <w:rFonts w:cs="Tempus Sans ITC" w:ascii="Tempus Sans ITC" w:hAnsi="Tempus Sans ITC"/>
        </w:rPr>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Golf:</w:t>
      </w:r>
      <w:r>
        <w:rPr>
          <w:rFonts w:cs="Tempus Sans ITC" w:ascii="Tempus Sans ITC" w:hAnsi="Tempus Sans ITC"/>
        </w:rPr>
        <w:t xml:space="preserve">  Join the group in playing on the new Palmer Course at Westin La Cantera.</w:t>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Battle of the Alamo Tour</w:t>
      </w:r>
      <w:r>
        <w:rPr>
          <w:rFonts w:cs="Tempus Sans ITC" w:ascii="Tempus Sans ITC" w:hAnsi="Tempus Sans ITC"/>
        </w:rPr>
        <w:t>:  Visit Mission Concepción, view the famous IMAX film about the Battle of the Alamo, then visit the Alamo, and drive by La Villita and San Fernando Cathedral.</w:t>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Skeet Shooting</w:t>
      </w:r>
      <w:r>
        <w:rPr>
          <w:rFonts w:cs="Tempus Sans ITC" w:ascii="Tempus Sans ITC" w:hAnsi="Tempus Sans ITC"/>
          <w:b/>
          <w:bCs/>
        </w:rPr>
        <w:t xml:space="preserve">:  </w:t>
      </w:r>
      <w:r>
        <w:rPr>
          <w:rFonts w:cs="Tempus Sans ITC" w:ascii="Tempus Sans ITC" w:hAnsi="Tempus Sans ITC"/>
        </w:rPr>
        <w:t>One of the</w:t>
      </w:r>
      <w:r>
        <w:rPr>
          <w:rFonts w:cs="Tempus Sans ITC" w:ascii="Tempus Sans ITC" w:hAnsi="Tempus Sans ITC"/>
          <w:b/>
          <w:bCs/>
        </w:rPr>
        <w:t xml:space="preserve"> </w:t>
      </w:r>
      <w:r>
        <w:rPr>
          <w:rFonts w:cs="Tempus Sans ITC" w:ascii="Tempus Sans ITC" w:hAnsi="Tempus Sans ITC"/>
        </w:rPr>
        <w:t>most popular events for this group, 4 hours roundtrip with 2 hours of shooting and instruction!</w:t>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Rafting the Guadalupe River</w:t>
      </w:r>
      <w:r>
        <w:rPr>
          <w:rFonts w:cs="Tempus Sans ITC" w:ascii="Tempus Sans ITC" w:hAnsi="Tempus Sans ITC"/>
        </w:rPr>
        <w:t>:  5 hours with a guide to enjoy the exhilaration of San Antonio’s great river.</w:t>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San Marcos Shopping Excursion</w:t>
      </w:r>
      <w:r>
        <w:rPr>
          <w:rFonts w:cs="Tempus Sans ITC" w:ascii="Tempus Sans ITC" w:hAnsi="Tempus Sans ITC"/>
          <w:b/>
          <w:bCs/>
        </w:rPr>
        <w:t xml:space="preserve">:  </w:t>
      </w:r>
      <w:r>
        <w:rPr>
          <w:rFonts w:cs="Tempus Sans ITC" w:ascii="Tempus Sans ITC" w:hAnsi="Tempus Sans ITC"/>
        </w:rPr>
        <w:t>Shop ‘til you drop as we travel to San Marcos and hit the outlets.  This is an all day affair!</w:t>
      </w:r>
    </w:p>
    <w:p>
      <w:pPr>
        <w:pStyle w:val="Normal"/>
        <w:numPr>
          <w:ilvl w:val="0"/>
          <w:numId w:val="2"/>
        </w:numPr>
        <w:jc w:val="both"/>
        <w:rPr>
          <w:rFonts w:ascii="Tempus Sans ITC" w:hAnsi="Tempus Sans ITC" w:cs="Tempus Sans ITC"/>
        </w:rPr>
      </w:pPr>
      <w:r>
        <w:rPr>
          <w:rFonts w:cs="Futura Md BT;Lucida Sans Unicode" w:ascii="Futura Md BT;Lucida Sans Unicode" w:hAnsi="Futura Md BT;Lucida Sans Unicode"/>
        </w:rPr>
        <w:t>Relax at the Hotel:</w:t>
      </w:r>
      <w:r>
        <w:rPr>
          <w:rFonts w:cs="Tempus Sans ITC" w:ascii="Tempus Sans ITC" w:hAnsi="Tempus Sans ITC"/>
        </w:rPr>
        <w:t xml:space="preserve">  Do your own thing!</w:t>
      </w:r>
    </w:p>
    <w:p>
      <w:pPr>
        <w:pStyle w:val="Normal"/>
        <w:jc w:val="both"/>
        <w:rPr>
          <w:rFonts w:ascii="Tempus Sans ITC" w:hAnsi="Tempus Sans ITC" w:cs="Tempus Sans ITC"/>
        </w:rPr>
      </w:pPr>
      <w:r>
        <w:rPr>
          <w:rFonts w:cs="Tempus Sans ITC" w:ascii="Tempus Sans ITC" w:hAnsi="Tempus Sans ITC"/>
        </w:rPr>
      </w:r>
    </w:p>
    <w:p>
      <w:pPr>
        <w:pStyle w:val="Normal"/>
        <w:ind w:firstLine="720" w:end="0"/>
        <w:jc w:val="both"/>
        <w:rPr/>
      </w:pPr>
      <w:r>
        <w:rPr>
          <w:rFonts w:cs="Tempus Sans ITC" w:ascii="Tempus Sans ITC" w:hAnsi="Tempus Sans ITC"/>
        </w:rPr>
        <w:t>If you wish to stay for the weekend and relax, we have a limited number of rooms reserved for Friday and Saturday nights at the same conference rate as listed above.  Please indicate the exact date of departure on the Online RSVP Form</w:t>
      </w:r>
      <w:r>
        <w:rPr>
          <w:rFonts w:cs="Tempus Sans ITC" w:ascii="Tempus Sans ITC" w:hAnsi="Tempus Sans ITC"/>
          <w:color w:val="FF0000"/>
        </w:rPr>
        <w:t xml:space="preserve">.  </w:t>
      </w:r>
      <w:r>
        <w:rPr>
          <w:rFonts w:cs="Futura Md BT;Lucida Sans Unicode" w:ascii="Futura Md BT;Lucida Sans Unicode" w:hAnsi="Futura Md BT;Lucida Sans Unicode"/>
          <w:bCs/>
          <w:color w:val="FF0000"/>
        </w:rPr>
        <w:t>DO NOT CALL THE HOTEL.  All reservations are to be made only via the Online RSVP Form.</w:t>
      </w:r>
      <w:r>
        <w:rPr>
          <w:rFonts w:cs="Tempus Sans ITC" w:ascii="Tempus Sans ITC" w:hAnsi="Tempus Sans ITC"/>
          <w:color w:val="FF0000"/>
        </w:rPr>
        <w:t xml:space="preserve">   </w:t>
      </w:r>
      <w:r>
        <w:rPr>
          <w:rFonts w:cs="Tempus Sans ITC" w:ascii="Tempus Sans ITC" w:hAnsi="Tempus Sans ITC"/>
        </w:rPr>
        <w:t>The weekend rooms will be booked on a first come-first serve basis.</w:t>
      </w:r>
    </w:p>
    <w:p>
      <w:pPr>
        <w:pStyle w:val="Normal"/>
        <w:jc w:val="both"/>
        <w:rPr>
          <w:rFonts w:ascii="Tempus Sans ITC" w:hAnsi="Tempus Sans ITC" w:cs="Tempus Sans ITC"/>
        </w:rPr>
      </w:pPr>
      <w:r>
        <w:rPr>
          <w:rFonts w:cs="Tempus Sans ITC" w:ascii="Tempus Sans ITC" w:hAnsi="Tempus Sans ITC"/>
        </w:rPr>
      </w:r>
    </w:p>
    <w:p>
      <w:pPr>
        <w:pStyle w:val="Normal"/>
        <w:ind w:firstLine="720" w:end="0"/>
        <w:jc w:val="both"/>
        <w:rPr/>
      </w:pPr>
      <w:r>
        <w:rPr>
          <w:rFonts w:cs="Tempus Sans ITC" w:ascii="Tempus Sans ITC" w:hAnsi="Tempus Sans ITC"/>
        </w:rPr>
        <w:t xml:space="preserve">Please complete the Online RSVP Form and submit it no later than </w:t>
      </w:r>
      <w:r>
        <w:rPr>
          <w:rFonts w:cs="Futura Md BT;Lucida Sans Unicode" w:ascii="Futura Md BT;Lucida Sans Unicode" w:hAnsi="Futura Md BT;Lucida Sans Unicode"/>
          <w:bCs/>
        </w:rPr>
        <w:t>Friday, March 30, 2001</w:t>
      </w:r>
      <w:r>
        <w:rPr>
          <w:rFonts w:cs="Tempus Sans ITC" w:ascii="Tempus Sans ITC" w:hAnsi="Tempus Sans ITC"/>
        </w:rPr>
        <w:t xml:space="preserve">.  Be sure to complete all of the applicable information on the Online RSVP Form, as this will expedite your reservation. Do not make changes once this form is submitted. </w:t>
      </w:r>
      <w:r>
        <w:rPr>
          <w:rFonts w:cs="Futura Md BT;Lucida Sans Unicode" w:ascii="Futura Md BT;Lucida Sans Unicode" w:hAnsi="Futura Md BT;Lucida Sans Unicode"/>
          <w:bCs/>
          <w:color w:val="FF0000"/>
        </w:rPr>
        <w:t>E-MAIL SARA DAVIDSON WITH ANY CHANGES OR CANCELLATIONS.</w:t>
      </w:r>
      <w:r>
        <w:rPr>
          <w:rFonts w:cs="Tempus Sans ITC" w:ascii="Tempus Sans ITC" w:hAnsi="Tempus Sans ITC"/>
        </w:rPr>
        <w:t xml:space="preserve">  </w:t>
      </w:r>
    </w:p>
    <w:p>
      <w:pPr>
        <w:pStyle w:val="Normal"/>
        <w:jc w:val="both"/>
        <w:rPr>
          <w:rFonts w:ascii="Tempus Sans ITC" w:hAnsi="Tempus Sans ITC" w:cs="Tempus Sans ITC"/>
        </w:rPr>
      </w:pPr>
      <w:r>
        <w:rPr>
          <w:rFonts w:cs="Tempus Sans ITC" w:ascii="Tempus Sans ITC" w:hAnsi="Tempus Sans ITC"/>
        </w:rPr>
      </w:r>
    </w:p>
    <w:p>
      <w:pPr>
        <w:pStyle w:val="BodyTextIndent"/>
        <w:rPr/>
      </w:pPr>
      <w:r>
        <w:rPr/>
        <w:t>If you have questions or suggestions for this year’s conference, please feel free to call or e-mail any of us as follows:</w:t>
      </w:r>
    </w:p>
    <w:p>
      <w:pPr>
        <w:pStyle w:val="BodyTextIndent"/>
        <w:rPr/>
      </w:pPr>
      <w:r>
        <w:rPr/>
      </w:r>
    </w:p>
    <w:p>
      <w:pPr>
        <w:pStyle w:val="BodyTextIndent"/>
        <w:rPr/>
      </w:pPr>
      <w:r>
        <w:rPr/>
        <w:t>Sara Davidson</w:t>
        <w:tab/>
        <w:tab/>
        <w:tab/>
        <w:t>(713) 853-9129</w:t>
        <w:tab/>
        <w:tab/>
      </w:r>
      <w:hyperlink r:id="rId7">
        <w:r>
          <w:rPr>
            <w:rStyle w:val="Hyperlink"/>
          </w:rPr>
          <w:t>sara.davidson@enron.com</w:t>
        </w:r>
      </w:hyperlink>
    </w:p>
    <w:p>
      <w:pPr>
        <w:pStyle w:val="BodyTextIndent"/>
        <w:rPr/>
      </w:pPr>
      <w:r>
        <w:rPr/>
        <w:t>Paulette Obrecht</w:t>
        <w:tab/>
        <w:tab/>
        <w:t>(713) 646-6305</w:t>
        <w:tab/>
        <w:tab/>
      </w:r>
      <w:hyperlink r:id="rId8">
        <w:r>
          <w:rPr>
            <w:rStyle w:val="Hyperlink"/>
          </w:rPr>
          <w:t>paulette.obrecht@enron.com</w:t>
        </w:r>
      </w:hyperlink>
    </w:p>
    <w:p>
      <w:pPr>
        <w:pStyle w:val="BodyTextIndent"/>
        <w:rPr/>
      </w:pPr>
      <w:r>
        <w:rPr/>
        <w:t xml:space="preserve">Fran Berg </w:t>
        <w:tab/>
        <w:tab/>
        <w:tab/>
        <w:t>(713) 664-3836</w:t>
        <w:tab/>
        <w:tab/>
      </w:r>
      <w:hyperlink r:id="rId9">
        <w:r>
          <w:rPr>
            <w:rStyle w:val="Hyperlink"/>
          </w:rPr>
          <w:t>fberg@swbell.net</w:t>
        </w:r>
      </w:hyperlink>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sto MT">
    <w:charset w:val="00" w:characterSet="windows-1252"/>
    <w:family w:val="roman"/>
    <w:pitch w:val="variable"/>
  </w:font>
  <w:font w:name="Abadi MT Condensed">
    <w:altName w:val="Gill Sans MT Condensed"/>
    <w:charset w:val="00" w:characterSet="windows-1252"/>
    <w:family w:val="swiss"/>
    <w:pitch w:val="variable"/>
  </w:font>
  <w:font w:name="Tempus Sans ITC">
    <w:charset w:val="00" w:characterSet="windows-1252"/>
    <w:family w:val="decorative"/>
    <w:pitch w:val="variable"/>
  </w:font>
  <w:font w:name="Liberation Sans">
    <w:altName w:val="Arial"/>
    <w:charset w:val="01" w:characterSet="utf-8"/>
    <w:family w:val="swiss"/>
    <w:pitch w:val="variable"/>
  </w:font>
  <w:font w:name="Palatino Linotype">
    <w:charset w:val="00" w:characterSet="windows-1252"/>
    <w:family w:val="roman"/>
    <w:pitch w:val="variable"/>
  </w:font>
  <w:font w:name="Futura Md BT">
    <w:altName w:val="Lucida Sans Unicode"/>
    <w:charset w:val="00" w:characterSet="windows-1252"/>
    <w:family w:val="swiss"/>
    <w:pitch w:val="variable"/>
  </w:font>
  <w:font w:name="Comic Sans MS">
    <w:charset w:val="00" w:characterSet="windows-1252"/>
    <w:family w:val="script"/>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alisto MT" w:hAnsi="Calisto MT" w:eastAsia="Times New Roman" w:cs="Calisto MT"/>
      <w:color w:val="000080"/>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Abadi MT Condensed;Gill Sans MT Condensed" w:hAnsi="Abadi MT Condensed;Gill Sans MT Condensed" w:cs="Abadi MT Condensed;Gill Sans MT Condensed"/>
      <w:b/>
      <w:bCs/>
    </w:rPr>
  </w:style>
  <w:style w:type="paragraph" w:styleId="Heading2">
    <w:name w:val="heading 2"/>
    <w:basedOn w:val="Normal"/>
    <w:next w:val="Normal"/>
    <w:qFormat/>
    <w:pPr>
      <w:keepNext w:val="true"/>
      <w:numPr>
        <w:ilvl w:val="1"/>
        <w:numId w:val="1"/>
      </w:numPr>
      <w:jc w:val="center"/>
      <w:outlineLvl w:val="1"/>
    </w:pPr>
    <w:rPr>
      <w:rFonts w:ascii="Tempus Sans ITC" w:hAnsi="Tempus Sans ITC" w:cs="Tempus Sans ITC"/>
      <w:b/>
      <w:bCs/>
      <w:color w:val="000000"/>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jc w:val="both"/>
    </w:pPr>
    <w:rPr>
      <w:rFonts w:ascii="Tempus Sans ITC" w:hAnsi="Tempus Sans ITC" w:cs="Tempus Sans ITC"/>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wmf"/><Relationship Id="rId4" Type="http://schemas.openxmlformats.org/officeDocument/2006/relationships/image" Target="media/image3.jpeg"/><Relationship Id="rId5" Type="http://schemas.openxmlformats.org/officeDocument/2006/relationships/hyperlink" Target="mailto:sara.davidson@enron.com" TargetMode="External"/><Relationship Id="rId6" Type="http://schemas.openxmlformats.org/officeDocument/2006/relationships/hyperlink" Target="http://lawconference.corp.enron.com/" TargetMode="External"/><Relationship Id="rId7" Type="http://schemas.openxmlformats.org/officeDocument/2006/relationships/hyperlink" Target="mailto:sara.Davidson@enron.com" TargetMode="External"/><Relationship Id="rId8" Type="http://schemas.openxmlformats.org/officeDocument/2006/relationships/hyperlink" Target="mailto:paulette.obrecht@enron.com" TargetMode="External"/><Relationship Id="rId9" Type="http://schemas.openxmlformats.org/officeDocument/2006/relationships/hyperlink" Target="mailto:fberg@swbell.net" TargetMode="Externa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2001-03-08T18:47:00Z</dcterms:created>
  <dc:creator>Microsoft Window98 2nd Editio</dc:creator>
  <dc:description/>
  <dc:language>en-CA</dc:language>
  <cp:lastModifiedBy>sdavid2</cp:lastModifiedBy>
  <cp:lastPrinted>2001-03-09T10:44:00Z</cp:lastPrinted>
  <dcterms:modified xsi:type="dcterms:W3CDTF">2001-03-09T14:14:00Z</dcterms:modified>
  <cp:revision>5</cp:revision>
  <dc:subject/>
  <dc:title>  March 1, 1999</dc:title>
</cp:coreProperties>
</file>