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 xml:space="preserve">SKAMANIA CONFERENCE </w:t>
      </w:r>
    </w:p>
    <w:p>
      <w:pPr>
        <w:pStyle w:val="Normal"/>
        <w:rPr>
          <w:sz w:val="22"/>
        </w:rPr>
      </w:pPr>
      <w:r>
        <w:rPr>
          <w:sz w:val="22"/>
        </w:rPr>
      </w:r>
    </w:p>
    <w:p>
      <w:pPr>
        <w:pStyle w:val="Heading1"/>
        <w:ind w:hanging="0" w:start="0"/>
        <w:rPr>
          <w:b/>
          <w:sz w:val="22"/>
        </w:rPr>
      </w:pPr>
      <w:r>
        <w:rPr>
          <w:b/>
          <w:sz w:val="22"/>
        </w:rPr>
      </w:r>
    </w:p>
    <w:p>
      <w:pPr>
        <w:pStyle w:val="Normal"/>
        <w:rPr>
          <w:rFonts w:ascii="Arial Black" w:hAnsi="Arial Black" w:cs="Arial Black"/>
          <w:sz w:val="28"/>
        </w:rPr>
      </w:pPr>
      <w:r>
        <w:rPr>
          <w:rFonts w:cs="Arial Black" w:ascii="Arial Black" w:hAnsi="Arial Black"/>
          <w:sz w:val="28"/>
        </w:rPr>
        <w:t xml:space="preserve">Forecasting Challenges in </w:t>
      </w:r>
    </w:p>
    <w:p>
      <w:pPr>
        <w:pStyle w:val="Normal"/>
        <w:rPr>
          <w:rFonts w:ascii="Arial Black" w:hAnsi="Arial Black" w:cs="Arial Black"/>
          <w:sz w:val="22"/>
        </w:rPr>
      </w:pPr>
      <w:r>
        <w:rPr>
          <w:rFonts w:cs="Arial Black" w:ascii="Arial Black" w:hAnsi="Arial Black"/>
          <w:sz w:val="28"/>
        </w:rPr>
        <w:t>U.S. and Canada Electricity Markets</w:t>
        <w:br/>
      </w:r>
    </w:p>
    <w:p>
      <w:pPr>
        <w:pStyle w:val="Normal"/>
        <w:rPr>
          <w:rFonts w:ascii="Arial Black" w:hAnsi="Arial Black" w:cs="Arial Black"/>
          <w:sz w:val="22"/>
        </w:rPr>
      </w:pPr>
      <w:r>
        <w:rPr>
          <w:rFonts w:cs="Arial Black" w:ascii="Arial Black" w:hAnsi="Arial Black"/>
          <w:sz w:val="22"/>
        </w:rPr>
        <w:t>2001 Electric Market Forecasting Conference</w:t>
      </w:r>
    </w:p>
    <w:p>
      <w:pPr>
        <w:pStyle w:val="Normal"/>
        <w:tabs>
          <w:tab w:val="clear" w:pos="720"/>
          <w:tab w:val="left" w:pos="2880" w:leader="none"/>
          <w:tab w:val="left" w:pos="3240" w:leader="none"/>
        </w:tabs>
        <w:rPr/>
      </w:pPr>
      <w:r>
        <w:rPr>
          <w:sz w:val="22"/>
        </w:rPr>
        <w:t>Skamania Lodge, Washington</w:t>
        <w:tab/>
      </w:r>
      <w:r>
        <w:rPr>
          <w:rFonts w:eastAsia="Symbol" w:cs="Symbol" w:ascii="Symbol" w:hAnsi="Symbol"/>
          <w:sz w:val="22"/>
        </w:rPr>
        <w:sym w:font="Symbol" w:char="f0b7"/>
      </w:r>
      <w:r>
        <w:rPr>
          <w:sz w:val="22"/>
        </w:rPr>
        <w:tab/>
        <w:t xml:space="preserve">September 12-14, 2001 </w:t>
      </w:r>
    </w:p>
    <w:p>
      <w:pPr>
        <w:pStyle w:val="BodyText"/>
        <w:rPr>
          <w:b/>
          <w:sz w:val="22"/>
          <w:u w:val="single"/>
        </w:rPr>
      </w:pPr>
      <w:r>
        <w:rPr>
          <w:b/>
          <w:sz w:val="22"/>
          <w:u w:val="single"/>
        </w:rPr>
      </w:r>
    </w:p>
    <w:p>
      <w:pPr>
        <w:pStyle w:val="Normal"/>
        <w:rPr>
          <w:sz w:val="24"/>
        </w:rPr>
      </w:pPr>
      <w:r>
        <w:rPr>
          <w:sz w:val="28"/>
        </w:rPr>
        <w:t>Today’s electricity markets are more challenging to predict than ever. Discover the keys to managing risk in volatile energy markets from the northeastern U.S. to California, from Florida to the Canadian interior.</w:t>
      </w:r>
    </w:p>
    <w:p>
      <w:pPr>
        <w:pStyle w:val="Normal"/>
        <w:rPr>
          <w:sz w:val="22"/>
        </w:rPr>
      </w:pPr>
      <w:r>
        <w:rPr>
          <w:sz w:val="22"/>
        </w:rPr>
      </w:r>
    </w:p>
    <w:p>
      <w:pPr>
        <w:pStyle w:val="Normal"/>
        <w:rPr>
          <w:sz w:val="22"/>
        </w:rPr>
      </w:pPr>
      <w:r>
        <w:rPr>
          <w:sz w:val="22"/>
        </w:rPr>
        <w:t xml:space="preserve">The conference venue is the beautiful Skamania Lodge in the scenic Columbia River Gorge 45 minutes East of Portland International Airport, Portland, Oregon.  A mind expanding setting for an executive-and professional level exchange of information and strategies concerning North American energy markets. </w:t>
      </w:r>
    </w:p>
    <w:p>
      <w:pPr>
        <w:pStyle w:val="Heading1"/>
        <w:ind w:hanging="0" w:start="0"/>
        <w:rPr>
          <w:sz w:val="22"/>
        </w:rPr>
      </w:pPr>
      <w:r>
        <w:rPr>
          <w:sz w:val="22"/>
        </w:rPr>
      </w:r>
    </w:p>
    <w:p>
      <w:pPr>
        <w:pStyle w:val="Normal"/>
        <w:tabs>
          <w:tab w:val="clear" w:pos="720"/>
          <w:tab w:val="left" w:pos="2880" w:leader="none"/>
        </w:tabs>
        <w:rPr>
          <w:rFonts w:ascii="Arial Black" w:hAnsi="Arial Black" w:cs="Arial Black"/>
          <w:sz w:val="22"/>
        </w:rPr>
      </w:pPr>
      <w:r>
        <w:rPr>
          <w:rFonts w:cs="Arial Black" w:ascii="Arial Black" w:hAnsi="Arial Black"/>
          <w:sz w:val="22"/>
        </w:rPr>
        <w:t>Navigating Today’s Energy Markets</w:t>
      </w:r>
    </w:p>
    <w:p>
      <w:pPr>
        <w:pStyle w:val="BodyText"/>
        <w:rPr>
          <w:rFonts w:ascii="Arial Black" w:hAnsi="Arial Black" w:cs="Arial Black"/>
          <w:sz w:val="22"/>
        </w:rPr>
      </w:pPr>
      <w:r>
        <w:rPr>
          <w:rFonts w:cs="Arial Black" w:ascii="Arial Black" w:hAnsi="Arial Black"/>
          <w:sz w:val="22"/>
        </w:rPr>
      </w:r>
    </w:p>
    <w:p>
      <w:pPr>
        <w:pStyle w:val="BodyText"/>
        <w:rPr/>
      </w:pPr>
      <w:r>
        <w:rPr/>
        <w:t xml:space="preserve">The challenges of taming energy markets don’t begin and end in California. Volatility and risk are present in every market region, forcing all participants to carefully examine the underlying factors and accurately assess their current and future market positions. </w:t>
      </w:r>
    </w:p>
    <w:p>
      <w:pPr>
        <w:pStyle w:val="BodyText"/>
        <w:rPr/>
      </w:pPr>
      <w:r>
        <w:rPr/>
      </w:r>
    </w:p>
    <w:p>
      <w:pPr>
        <w:pStyle w:val="BodyText"/>
        <w:rPr/>
      </w:pPr>
      <w:r>
        <w:rPr/>
        <w:t>For the 4th year, EPIS, Inc., developer of the AURORA</w:t>
      </w:r>
      <w:r>
        <w:rPr>
          <w:rFonts w:eastAsia="Symbol" w:cs="Symbol" w:ascii="Symbol" w:hAnsi="Symbol"/>
        </w:rPr>
        <w:sym w:font="Symbol" w:char="f0d4"/>
      </w:r>
      <w:r>
        <w:rPr/>
        <w:t xml:space="preserve"> electric market model, has assembled a stimulating program of interest to any company exposed to energy market risks. This year’s agenda includes a detailed look at the various energy trading regions in the U.S. and Canada – an exploration of market conditions and market dynamics. </w:t>
      </w:r>
    </w:p>
    <w:p>
      <w:pPr>
        <w:pStyle w:val="BodyText"/>
        <w:rPr/>
      </w:pPr>
      <w:r>
        <w:rPr/>
      </w:r>
    </w:p>
    <w:p>
      <w:pPr>
        <w:pStyle w:val="BodyText"/>
        <w:rPr/>
      </w:pPr>
      <w:r>
        <w:rPr/>
        <w:t>This year’s conference will feature thoughtful exchanges on:</w:t>
      </w:r>
    </w:p>
    <w:p>
      <w:pPr>
        <w:pStyle w:val="BodyText"/>
        <w:rPr/>
      </w:pPr>
      <w:r>
        <w:rPr/>
      </w:r>
    </w:p>
    <w:p>
      <w:pPr>
        <w:pStyle w:val="BodyText"/>
        <w:numPr>
          <w:ilvl w:val="0"/>
          <w:numId w:val="3"/>
        </w:numPr>
        <w:rPr/>
      </w:pPr>
      <w:r>
        <w:rPr/>
        <w:t>Electric and Gas Markets – 2001 and Beyond</w:t>
      </w:r>
    </w:p>
    <w:p>
      <w:pPr>
        <w:pStyle w:val="BodyText"/>
        <w:numPr>
          <w:ilvl w:val="0"/>
          <w:numId w:val="2"/>
        </w:numPr>
        <w:tabs>
          <w:tab w:val="left" w:pos="720" w:leader="none"/>
        </w:tabs>
        <w:ind w:hanging="360" w:start="720" w:end="0"/>
        <w:rPr/>
      </w:pPr>
      <w:r>
        <w:rPr/>
        <w:t>U.S. Markets: Crisis in the West, Emerging Issues in the East and ERCOT</w:t>
      </w:r>
    </w:p>
    <w:p>
      <w:pPr>
        <w:pStyle w:val="BodyText"/>
        <w:numPr>
          <w:ilvl w:val="0"/>
          <w:numId w:val="2"/>
        </w:numPr>
        <w:tabs>
          <w:tab w:val="left" w:pos="720" w:leader="none"/>
        </w:tabs>
        <w:ind w:hanging="360" w:start="720" w:end="0"/>
        <w:rPr/>
      </w:pPr>
      <w:r>
        <w:rPr/>
        <w:t>Keys to U.S. Electric and Gas Forward Markets</w:t>
      </w:r>
    </w:p>
    <w:p>
      <w:pPr>
        <w:pStyle w:val="BodyText"/>
        <w:numPr>
          <w:ilvl w:val="0"/>
          <w:numId w:val="2"/>
        </w:numPr>
        <w:tabs>
          <w:tab w:val="left" w:pos="720" w:leader="none"/>
        </w:tabs>
        <w:ind w:hanging="360" w:start="720" w:end="0"/>
        <w:rPr/>
      </w:pPr>
      <w:r>
        <w:rPr/>
        <w:t>Issues in Canadian Markets</w:t>
      </w:r>
    </w:p>
    <w:p>
      <w:pPr>
        <w:pStyle w:val="BodyText"/>
        <w:numPr>
          <w:ilvl w:val="0"/>
          <w:numId w:val="3"/>
        </w:numPr>
        <w:rPr/>
      </w:pPr>
      <w:r>
        <w:rPr/>
        <w:t>Gas Hedging Strategies and Electric Markets</w:t>
      </w:r>
    </w:p>
    <w:p>
      <w:pPr>
        <w:pStyle w:val="BodyText"/>
        <w:numPr>
          <w:ilvl w:val="0"/>
          <w:numId w:val="3"/>
        </w:numPr>
        <w:rPr/>
      </w:pPr>
      <w:r>
        <w:rPr/>
        <w:t>Price and Volume Volatility in Turbulent Markets</w:t>
      </w:r>
    </w:p>
    <w:p>
      <w:pPr>
        <w:pStyle w:val="BodyText"/>
        <w:numPr>
          <w:ilvl w:val="0"/>
          <w:numId w:val="3"/>
        </w:numPr>
        <w:rPr/>
      </w:pPr>
      <w:r>
        <w:rPr/>
        <w:t>New Resources: When and Where to Develop?</w:t>
      </w:r>
    </w:p>
    <w:p>
      <w:pPr>
        <w:pStyle w:val="BodyText"/>
        <w:rPr/>
      </w:pPr>
      <w:r>
        <w:rPr/>
      </w:r>
    </w:p>
    <w:p>
      <w:pPr>
        <w:pStyle w:val="BodyText"/>
        <w:rPr/>
      </w:pPr>
      <w:r>
        <w:rPr/>
        <w:t xml:space="preserve">You’ll hear from top-level speakers representing companies that have been there – Williams Energy Marketing, FPL Energy, Pinnacle West, NYMEX, DTE Energy, </w:t>
      </w:r>
      <w:r>
        <w:rPr>
          <w:color w:val="000000"/>
        </w:rPr>
        <w:t>Deutsche Bank</w:t>
      </w:r>
      <w:r>
        <w:rPr/>
        <w:t xml:space="preserve"> and others. Plus there will be informative “roll-up-your-sleeves” sessions on applied forecasting techniques.</w:t>
      </w:r>
    </w:p>
    <w:p>
      <w:pPr>
        <w:pStyle w:val="BodyText"/>
        <w:rPr/>
      </w:pPr>
      <w:r>
        <w:rPr/>
      </w:r>
    </w:p>
    <w:p>
      <w:pPr>
        <w:pStyle w:val="BodyText"/>
        <w:rPr/>
      </w:pPr>
      <w:r>
        <w:rPr/>
        <w:t>Once again we’ve included – at no additional cost – a special pre-conference workshop on energy market modeling (both introductory and advanced levels).</w:t>
      </w:r>
    </w:p>
    <w:p>
      <w:pPr>
        <w:pStyle w:val="BodyText"/>
        <w:rPr/>
      </w:pPr>
      <w:r>
        <w:rPr/>
      </w:r>
      <w:r>
        <w:br w:type="page"/>
      </w:r>
    </w:p>
    <w:p>
      <w:pPr>
        <w:pStyle w:val="Heading1"/>
        <w:tabs>
          <w:tab w:val="clear" w:pos="720"/>
          <w:tab w:val="left" w:pos="2880" w:leader="none"/>
        </w:tabs>
        <w:ind w:hanging="0" w:start="0"/>
        <w:rPr>
          <w:b/>
        </w:rPr>
      </w:pPr>
      <w:r>
        <w:rPr>
          <w:b/>
        </w:rPr>
        <w:t>Pre-Conference Workshop</w:t>
      </w:r>
    </w:p>
    <w:p>
      <w:pPr>
        <w:pStyle w:val="Normal"/>
        <w:rPr>
          <w:b/>
        </w:rPr>
      </w:pPr>
      <w:r>
        <w:rPr>
          <w:b/>
        </w:rPr>
      </w:r>
    </w:p>
    <w:p>
      <w:pPr>
        <w:pStyle w:val="Normal"/>
        <w:rPr>
          <w:b/>
        </w:rPr>
      </w:pPr>
      <w:r>
        <w:rPr>
          <w:b/>
        </w:rPr>
        <w:t>Wednesday, September 12</w:t>
        <w:tab/>
        <w:t>Half day starting at 1:00 p.m.</w:t>
      </w:r>
    </w:p>
    <w:p>
      <w:pPr>
        <w:pStyle w:val="Normal"/>
        <w:rPr>
          <w:b/>
          <w:sz w:val="22"/>
        </w:rPr>
      </w:pPr>
      <w:r>
        <w:rPr>
          <w:b/>
          <w:sz w:val="22"/>
        </w:rPr>
      </w:r>
    </w:p>
    <w:p>
      <w:pPr>
        <w:pStyle w:val="Normal"/>
        <w:ind w:start="2880" w:end="0"/>
        <w:rPr>
          <w:i/>
          <w:i/>
          <w:sz w:val="22"/>
        </w:rPr>
      </w:pPr>
      <w:r>
        <w:rPr>
          <w:i/>
          <w:sz w:val="22"/>
        </w:rPr>
        <w:t>Energy Market Modeling, Advanced and Introductory</w:t>
      </w:r>
    </w:p>
    <w:p>
      <w:pPr>
        <w:pStyle w:val="Normal"/>
        <w:ind w:hanging="2880" w:start="2880" w:end="0"/>
        <w:rPr>
          <w:sz w:val="22"/>
        </w:rPr>
      </w:pPr>
      <w:r>
        <w:rPr>
          <w:sz w:val="22"/>
        </w:rPr>
        <w:tab/>
        <w:t>Principals, EPIS, Inc.</w:t>
      </w:r>
    </w:p>
    <w:p>
      <w:pPr>
        <w:pStyle w:val="Normal"/>
        <w:ind w:hanging="2880" w:start="2880" w:end="0"/>
        <w:rPr>
          <w:sz w:val="22"/>
        </w:rPr>
      </w:pPr>
      <w:r>
        <w:rPr>
          <w:sz w:val="22"/>
        </w:rPr>
      </w:r>
    </w:p>
    <w:p>
      <w:pPr>
        <w:pStyle w:val="BodyText"/>
        <w:ind w:start="2880" w:end="0"/>
        <w:rPr/>
      </w:pPr>
      <w:r>
        <w:rPr/>
        <w:t>Advanced and introductory sessions on energy market modeling, including short- and long-term price forecasting based on fundamental market drivers. Workshop also addresses capacity expansion, portfolio analysis, emissions effects and more.</w:t>
      </w:r>
      <w:r>
        <w:rPr>
          <w:b/>
          <w:color w:val="FF0000"/>
        </w:rPr>
        <w:t xml:space="preserve"> </w:t>
      </w:r>
      <w:r>
        <w:rPr/>
        <w:t>Cost: Included in conference registration fee.</w:t>
      </w:r>
    </w:p>
    <w:p>
      <w:pPr>
        <w:pStyle w:val="BodyText"/>
        <w:rPr/>
      </w:pPr>
      <w:r>
        <w:rPr/>
      </w:r>
    </w:p>
    <w:p>
      <w:pPr>
        <w:pStyle w:val="BodyText"/>
        <w:rPr/>
      </w:pPr>
      <w:r>
        <w:rPr/>
      </w:r>
    </w:p>
    <w:p>
      <w:pPr>
        <w:pStyle w:val="BodyText"/>
        <w:rPr>
          <w:b/>
        </w:rPr>
      </w:pPr>
      <w:r>
        <w:rPr>
          <w:b/>
          <w:u w:val="single"/>
        </w:rPr>
        <w:t>The Conference Agenda</w:t>
      </w:r>
    </w:p>
    <w:p>
      <w:pPr>
        <w:pStyle w:val="Normal"/>
        <w:tabs>
          <w:tab w:val="clear" w:pos="720"/>
          <w:tab w:val="left" w:pos="2880" w:leader="none"/>
        </w:tabs>
        <w:rPr>
          <w:b/>
          <w:sz w:val="22"/>
        </w:rPr>
      </w:pPr>
      <w:r>
        <w:rPr>
          <w:b/>
          <w:sz w:val="22"/>
        </w:rPr>
      </w:r>
    </w:p>
    <w:p>
      <w:pPr>
        <w:pStyle w:val="Heading1"/>
        <w:tabs>
          <w:tab w:val="clear" w:pos="720"/>
          <w:tab w:val="left" w:pos="2880" w:leader="none"/>
        </w:tabs>
        <w:ind w:hanging="0" w:start="0"/>
        <w:rPr>
          <w:b/>
          <w:u w:val="none"/>
        </w:rPr>
      </w:pPr>
      <w:r>
        <w:rPr>
          <w:b/>
          <w:u w:val="none"/>
        </w:rPr>
        <w:t>Wednesday, September 12</w:t>
        <w:tab/>
        <w:t xml:space="preserve">Conference Kick-off Event starting at 6:00 p.m. </w:t>
      </w:r>
    </w:p>
    <w:p>
      <w:pPr>
        <w:pStyle w:val="Normal"/>
        <w:tabs>
          <w:tab w:val="clear" w:pos="720"/>
          <w:tab w:val="left" w:pos="2880" w:leader="none"/>
        </w:tabs>
        <w:rPr>
          <w:b/>
          <w:sz w:val="22"/>
          <w:u w:val="none"/>
        </w:rPr>
      </w:pPr>
      <w:r>
        <w:rPr>
          <w:b/>
          <w:sz w:val="22"/>
          <w:u w:val="none"/>
        </w:rPr>
      </w:r>
    </w:p>
    <w:p>
      <w:pPr>
        <w:pStyle w:val="Normal"/>
        <w:tabs>
          <w:tab w:val="clear" w:pos="720"/>
          <w:tab w:val="left" w:pos="2880" w:leader="none"/>
        </w:tabs>
        <w:rPr/>
      </w:pPr>
      <w:r>
        <w:rPr>
          <w:sz w:val="22"/>
        </w:rPr>
        <w:tab/>
      </w:r>
      <w:r>
        <w:rPr>
          <w:i/>
          <w:sz w:val="22"/>
        </w:rPr>
        <w:t>An Evening at the Columbia Gorge Interpretive Center</w:t>
      </w:r>
    </w:p>
    <w:p>
      <w:pPr>
        <w:pStyle w:val="Normal"/>
        <w:tabs>
          <w:tab w:val="clear" w:pos="720"/>
          <w:tab w:val="left" w:pos="2880" w:leader="none"/>
        </w:tabs>
        <w:rPr/>
      </w:pPr>
      <w:r>
        <w:rPr>
          <w:i/>
          <w:sz w:val="22"/>
        </w:rPr>
        <w:tab/>
      </w:r>
      <w:r>
        <w:rPr>
          <w:sz w:val="22"/>
        </w:rPr>
        <w:t>Complimentary Dinner for</w:t>
      </w:r>
      <w:r>
        <w:rPr>
          <w:i/>
          <w:sz w:val="22"/>
        </w:rPr>
        <w:t xml:space="preserve"> </w:t>
      </w:r>
      <w:r>
        <w:rPr>
          <w:sz w:val="22"/>
        </w:rPr>
        <w:t>Attendees and Spouses</w:t>
      </w:r>
    </w:p>
    <w:p>
      <w:pPr>
        <w:pStyle w:val="Normal"/>
        <w:tabs>
          <w:tab w:val="clear" w:pos="720"/>
          <w:tab w:val="left" w:pos="2880" w:leader="none"/>
        </w:tabs>
        <w:rPr>
          <w:sz w:val="22"/>
          <w:u w:val="single"/>
        </w:rPr>
      </w:pPr>
      <w:r>
        <w:rPr>
          <w:sz w:val="22"/>
          <w:u w:val="single"/>
        </w:rPr>
      </w:r>
    </w:p>
    <w:p>
      <w:pPr>
        <w:pStyle w:val="Normal"/>
        <w:tabs>
          <w:tab w:val="clear" w:pos="720"/>
          <w:tab w:val="left" w:pos="2880" w:leader="none"/>
        </w:tabs>
        <w:ind w:start="2880" w:end="0"/>
        <w:rPr>
          <w:sz w:val="22"/>
        </w:rPr>
      </w:pPr>
      <w:r>
        <w:rPr>
          <w:sz w:val="22"/>
        </w:rPr>
        <w:t>An evening for attendees and their guest at the Columbia Gorge Interpretive Center. Dinner, music and private viewing of an exceptional museum in the heart of the Columbia River Gorge.</w:t>
      </w:r>
    </w:p>
    <w:p>
      <w:pPr>
        <w:pStyle w:val="Normal"/>
        <w:tabs>
          <w:tab w:val="clear" w:pos="720"/>
          <w:tab w:val="left" w:pos="2880" w:leader="none"/>
        </w:tabs>
        <w:ind w:start="2880" w:end="0"/>
        <w:rPr>
          <w:sz w:val="22"/>
          <w:u w:val="single"/>
        </w:rPr>
      </w:pPr>
      <w:r>
        <w:rPr>
          <w:sz w:val="22"/>
          <w:u w:val="single"/>
        </w:rPr>
      </w:r>
    </w:p>
    <w:p>
      <w:pPr>
        <w:pStyle w:val="Heading1"/>
        <w:tabs>
          <w:tab w:val="clear" w:pos="720"/>
          <w:tab w:val="left" w:pos="2880" w:leader="none"/>
        </w:tabs>
        <w:ind w:hanging="0" w:start="0"/>
        <w:rPr>
          <w:b/>
          <w:sz w:val="22"/>
          <w:u w:val="none"/>
        </w:rPr>
      </w:pPr>
      <w:r>
        <w:rPr>
          <w:b/>
          <w:sz w:val="22"/>
          <w:u w:val="none"/>
        </w:rPr>
      </w:r>
    </w:p>
    <w:p>
      <w:pPr>
        <w:pStyle w:val="Heading1"/>
        <w:tabs>
          <w:tab w:val="clear" w:pos="720"/>
          <w:tab w:val="left" w:pos="2880" w:leader="none"/>
        </w:tabs>
        <w:ind w:hanging="0" w:start="0"/>
        <w:rPr>
          <w:b/>
          <w:u w:val="none"/>
        </w:rPr>
      </w:pPr>
      <w:r>
        <w:rPr>
          <w:b/>
          <w:u w:val="none"/>
        </w:rPr>
        <w:t>Thursday, September 13</w:t>
        <w:tab/>
        <w:t>Electric Market Forum</w:t>
      </w:r>
      <w:r>
        <w:rPr>
          <w:u w:val="none"/>
        </w:rPr>
        <w:t xml:space="preserve"> (all day)</w:t>
      </w:r>
    </w:p>
    <w:p>
      <w:pPr>
        <w:pStyle w:val="Normal"/>
        <w:tabs>
          <w:tab w:val="clear" w:pos="720"/>
          <w:tab w:val="left" w:pos="2880" w:leader="none"/>
        </w:tabs>
        <w:rPr>
          <w:b/>
          <w:sz w:val="22"/>
          <w:u w:val="none"/>
        </w:rPr>
      </w:pPr>
      <w:r>
        <w:rPr>
          <w:b/>
          <w:sz w:val="22"/>
          <w:u w:val="none"/>
        </w:rPr>
      </w:r>
    </w:p>
    <w:p>
      <w:pPr>
        <w:pStyle w:val="Normal"/>
        <w:tabs>
          <w:tab w:val="clear" w:pos="720"/>
          <w:tab w:val="left" w:pos="2880" w:leader="none"/>
        </w:tabs>
        <w:rPr/>
      </w:pPr>
      <w:r>
        <w:rPr>
          <w:sz w:val="22"/>
        </w:rPr>
        <w:tab/>
      </w:r>
      <w:r>
        <w:rPr>
          <w:i/>
          <w:sz w:val="22"/>
        </w:rPr>
        <w:t>U.S. Electric and Gas Forward Markets</w:t>
      </w:r>
    </w:p>
    <w:p>
      <w:pPr>
        <w:pStyle w:val="Normal"/>
        <w:tabs>
          <w:tab w:val="clear" w:pos="720"/>
          <w:tab w:val="left" w:pos="2880" w:leader="none"/>
        </w:tabs>
        <w:rPr/>
      </w:pPr>
      <w:r>
        <w:rPr>
          <w:i/>
          <w:sz w:val="22"/>
        </w:rPr>
        <w:tab/>
      </w:r>
      <w:r>
        <w:rPr>
          <w:sz w:val="22"/>
        </w:rPr>
        <w:t>Brad Leach, Senior Director of Research (invited)</w:t>
      </w:r>
    </w:p>
    <w:p>
      <w:pPr>
        <w:pStyle w:val="Normal"/>
        <w:tabs>
          <w:tab w:val="clear" w:pos="720"/>
          <w:tab w:val="left" w:pos="2880" w:leader="none"/>
        </w:tabs>
        <w:rPr>
          <w:sz w:val="22"/>
        </w:rPr>
      </w:pPr>
      <w:r>
        <w:rPr>
          <w:sz w:val="22"/>
        </w:rPr>
        <w:tab/>
        <w:t>New York Mercantile Exchange</w:t>
      </w:r>
    </w:p>
    <w:p>
      <w:pPr>
        <w:pStyle w:val="Normal"/>
        <w:tabs>
          <w:tab w:val="clear" w:pos="720"/>
          <w:tab w:val="left" w:pos="2880" w:leader="none"/>
        </w:tabs>
        <w:rPr>
          <w:i/>
          <w:i/>
          <w:sz w:val="22"/>
        </w:rPr>
      </w:pPr>
      <w:r>
        <w:rPr>
          <w:i/>
          <w:sz w:val="22"/>
        </w:rPr>
      </w:r>
    </w:p>
    <w:p>
      <w:pPr>
        <w:pStyle w:val="Normal"/>
        <w:tabs>
          <w:tab w:val="clear" w:pos="720"/>
          <w:tab w:val="left" w:pos="2880" w:leader="none"/>
        </w:tabs>
        <w:rPr>
          <w:sz w:val="22"/>
        </w:rPr>
      </w:pPr>
      <w:r>
        <w:rPr>
          <w:i/>
          <w:sz w:val="22"/>
        </w:rPr>
        <w:tab/>
        <w:t>Western Canadian Markets</w:t>
      </w:r>
    </w:p>
    <w:p>
      <w:pPr>
        <w:pStyle w:val="Normal"/>
        <w:tabs>
          <w:tab w:val="clear" w:pos="720"/>
          <w:tab w:val="left" w:pos="2880" w:leader="none"/>
        </w:tabs>
        <w:rPr>
          <w:sz w:val="22"/>
        </w:rPr>
      </w:pPr>
      <w:r>
        <w:rPr>
          <w:sz w:val="22"/>
        </w:rPr>
        <w:tab/>
        <w:t>Paul Blaha, Manager, Power Marketing</w:t>
      </w:r>
    </w:p>
    <w:p>
      <w:pPr>
        <w:pStyle w:val="Normal"/>
        <w:tabs>
          <w:tab w:val="clear" w:pos="720"/>
          <w:tab w:val="left" w:pos="2880" w:leader="none"/>
        </w:tabs>
        <w:rPr>
          <w:sz w:val="22"/>
        </w:rPr>
      </w:pPr>
      <w:r>
        <w:rPr>
          <w:sz w:val="22"/>
        </w:rPr>
        <w:tab/>
        <w:t>ATCO</w:t>
      </w:r>
    </w:p>
    <w:p>
      <w:pPr>
        <w:pStyle w:val="Normal"/>
        <w:tabs>
          <w:tab w:val="clear" w:pos="720"/>
          <w:tab w:val="left" w:pos="2880" w:leader="none"/>
        </w:tabs>
        <w:rPr>
          <w:i/>
          <w:i/>
          <w:sz w:val="22"/>
        </w:rPr>
      </w:pPr>
      <w:r>
        <w:rPr>
          <w:i/>
          <w:sz w:val="22"/>
        </w:rPr>
      </w:r>
    </w:p>
    <w:p>
      <w:pPr>
        <w:pStyle w:val="Normal"/>
        <w:tabs>
          <w:tab w:val="clear" w:pos="720"/>
          <w:tab w:val="left" w:pos="2880" w:leader="none"/>
        </w:tabs>
        <w:rPr>
          <w:i/>
          <w:i/>
          <w:sz w:val="22"/>
        </w:rPr>
      </w:pPr>
      <w:r>
        <w:rPr>
          <w:i/>
          <w:sz w:val="22"/>
        </w:rPr>
        <w:tab/>
        <w:t>Eastern U.S. Markets</w:t>
      </w:r>
    </w:p>
    <w:p>
      <w:pPr>
        <w:pStyle w:val="Normal"/>
        <w:tabs>
          <w:tab w:val="clear" w:pos="720"/>
          <w:tab w:val="left" w:pos="2880" w:leader="none"/>
        </w:tabs>
        <w:rPr/>
      </w:pPr>
      <w:r>
        <w:rPr>
          <w:i/>
          <w:sz w:val="22"/>
        </w:rPr>
        <w:tab/>
      </w:r>
      <w:r>
        <w:rPr>
          <w:sz w:val="22"/>
        </w:rPr>
        <w:t>Brian Skinner, Director, Market Analysis</w:t>
      </w:r>
    </w:p>
    <w:p>
      <w:pPr>
        <w:pStyle w:val="Normal"/>
        <w:tabs>
          <w:tab w:val="clear" w:pos="720"/>
          <w:tab w:val="left" w:pos="2880" w:leader="none"/>
        </w:tabs>
        <w:rPr>
          <w:sz w:val="22"/>
        </w:rPr>
      </w:pPr>
      <w:r>
        <w:rPr>
          <w:sz w:val="22"/>
        </w:rPr>
        <w:tab/>
        <w:t>Williams Energy Market &amp; Trade</w:t>
      </w:r>
    </w:p>
    <w:p>
      <w:pPr>
        <w:pStyle w:val="Normal"/>
        <w:tabs>
          <w:tab w:val="clear" w:pos="720"/>
          <w:tab w:val="left" w:pos="2880" w:leader="none"/>
        </w:tabs>
        <w:rPr>
          <w:i/>
          <w:i/>
          <w:sz w:val="22"/>
        </w:rPr>
      </w:pPr>
      <w:r>
        <w:rPr>
          <w:i/>
          <w:sz w:val="22"/>
        </w:rPr>
      </w:r>
    </w:p>
    <w:p>
      <w:pPr>
        <w:pStyle w:val="Normal"/>
        <w:tabs>
          <w:tab w:val="clear" w:pos="720"/>
          <w:tab w:val="left" w:pos="2880" w:leader="none"/>
        </w:tabs>
        <w:rPr>
          <w:i/>
          <w:i/>
          <w:sz w:val="22"/>
        </w:rPr>
      </w:pPr>
      <w:r>
        <w:rPr>
          <w:i/>
          <w:sz w:val="22"/>
        </w:rPr>
        <w:tab/>
        <w:t>Luncheon Presentation – The Historic Columbia River Gorge</w:t>
      </w:r>
    </w:p>
    <w:p>
      <w:pPr>
        <w:pStyle w:val="Normal"/>
        <w:tabs>
          <w:tab w:val="clear" w:pos="720"/>
          <w:tab w:val="left" w:pos="2880" w:leader="none"/>
        </w:tabs>
        <w:ind w:start="2880" w:end="0"/>
        <w:rPr>
          <w:b/>
          <w:sz w:val="22"/>
        </w:rPr>
      </w:pPr>
      <w:r>
        <w:rPr>
          <w:sz w:val="22"/>
        </w:rPr>
        <w:t xml:space="preserve">Charlie Grist, </w:t>
      </w:r>
      <w:r>
        <w:rPr>
          <w:sz w:val="22"/>
          <w:lang w:eastAsia="en-US"/>
        </w:rPr>
        <w:t>Energy Policy Analyst</w:t>
      </w:r>
    </w:p>
    <w:p>
      <w:pPr>
        <w:pStyle w:val="Normal"/>
        <w:tabs>
          <w:tab w:val="clear" w:pos="720"/>
          <w:tab w:val="left" w:pos="2880" w:leader="none"/>
        </w:tabs>
        <w:ind w:start="2880" w:end="0"/>
        <w:rPr>
          <w:sz w:val="22"/>
        </w:rPr>
      </w:pPr>
      <w:r>
        <w:rPr>
          <w:sz w:val="22"/>
        </w:rPr>
        <w:t>Oregon Department of Energy</w:t>
      </w:r>
    </w:p>
    <w:p>
      <w:pPr>
        <w:pStyle w:val="Normal"/>
        <w:tabs>
          <w:tab w:val="clear" w:pos="720"/>
          <w:tab w:val="left" w:pos="2880" w:leader="none"/>
        </w:tabs>
        <w:ind w:start="2880" w:end="0"/>
        <w:rPr>
          <w:sz w:val="22"/>
        </w:rPr>
      </w:pPr>
      <w:r>
        <w:rPr>
          <w:sz w:val="22"/>
        </w:rPr>
      </w:r>
    </w:p>
    <w:p>
      <w:pPr>
        <w:pStyle w:val="Heading3"/>
        <w:rPr>
          <w:rFonts w:ascii="Times New Roman" w:hAnsi="Times New Roman" w:cs="Times New Roman"/>
        </w:rPr>
      </w:pPr>
      <w:r>
        <w:rPr>
          <w:rFonts w:cs="Times New Roman" w:ascii="Times New Roman" w:hAnsi="Times New Roman"/>
        </w:rPr>
        <w:t>ERCOT Market</w:t>
      </w:r>
    </w:p>
    <w:p>
      <w:pPr>
        <w:pStyle w:val="Normal"/>
        <w:tabs>
          <w:tab w:val="clear" w:pos="720"/>
          <w:tab w:val="left" w:pos="2880" w:leader="none"/>
        </w:tabs>
        <w:rPr>
          <w:sz w:val="22"/>
        </w:rPr>
      </w:pPr>
      <w:r>
        <w:rPr>
          <w:sz w:val="22"/>
        </w:rPr>
        <w:tab/>
        <w:t>Beth Garza, Director, Market Intelligence</w:t>
      </w:r>
    </w:p>
    <w:p>
      <w:pPr>
        <w:pStyle w:val="Normal"/>
        <w:tabs>
          <w:tab w:val="clear" w:pos="720"/>
          <w:tab w:val="left" w:pos="2880" w:leader="none"/>
        </w:tabs>
        <w:rPr>
          <w:sz w:val="22"/>
        </w:rPr>
      </w:pPr>
      <w:r>
        <w:rPr>
          <w:sz w:val="22"/>
        </w:rPr>
        <w:tab/>
        <w:t>FPL Energy</w:t>
      </w:r>
    </w:p>
    <w:p>
      <w:pPr>
        <w:pStyle w:val="Normal"/>
        <w:tabs>
          <w:tab w:val="clear" w:pos="720"/>
          <w:tab w:val="left" w:pos="2880" w:leader="none"/>
        </w:tabs>
        <w:rPr>
          <w:sz w:val="22"/>
        </w:rPr>
      </w:pPr>
      <w:r>
        <w:rPr>
          <w:sz w:val="22"/>
        </w:rPr>
      </w:r>
    </w:p>
    <w:p>
      <w:pPr>
        <w:pStyle w:val="Normal"/>
        <w:tabs>
          <w:tab w:val="clear" w:pos="720"/>
          <w:tab w:val="left" w:pos="2880" w:leader="none"/>
        </w:tabs>
        <w:rPr/>
      </w:pPr>
      <w:r>
        <w:rPr>
          <w:sz w:val="22"/>
        </w:rPr>
        <w:tab/>
      </w:r>
      <w:r>
        <w:rPr>
          <w:i/>
          <w:sz w:val="22"/>
        </w:rPr>
        <w:t>Midwestern U.S. Markets</w:t>
      </w:r>
    </w:p>
    <w:p>
      <w:pPr>
        <w:pStyle w:val="Normal"/>
        <w:tabs>
          <w:tab w:val="clear" w:pos="720"/>
          <w:tab w:val="left" w:pos="2880" w:leader="none"/>
        </w:tabs>
        <w:rPr/>
      </w:pPr>
      <w:r>
        <w:rPr>
          <w:i/>
          <w:sz w:val="22"/>
        </w:rPr>
        <w:tab/>
      </w:r>
      <w:r>
        <w:rPr>
          <w:sz w:val="22"/>
        </w:rPr>
        <w:t>Chester Bolling, Director, Regulatory Strategies</w:t>
      </w:r>
    </w:p>
    <w:p>
      <w:pPr>
        <w:pStyle w:val="Normal"/>
        <w:tabs>
          <w:tab w:val="clear" w:pos="720"/>
          <w:tab w:val="left" w:pos="2880" w:leader="none"/>
        </w:tabs>
        <w:rPr>
          <w:sz w:val="22"/>
        </w:rPr>
      </w:pPr>
      <w:r>
        <w:rPr>
          <w:sz w:val="22"/>
        </w:rPr>
        <w:tab/>
        <w:t>DTE Energy</w:t>
      </w:r>
    </w:p>
    <w:p>
      <w:pPr>
        <w:pStyle w:val="Normal"/>
        <w:tabs>
          <w:tab w:val="clear" w:pos="720"/>
          <w:tab w:val="left" w:pos="2880" w:leader="none"/>
        </w:tabs>
        <w:rPr>
          <w:i/>
          <w:i/>
          <w:sz w:val="22"/>
        </w:rPr>
      </w:pPr>
      <w:r>
        <w:rPr>
          <w:i/>
          <w:sz w:val="22"/>
        </w:rPr>
        <w:tab/>
      </w:r>
    </w:p>
    <w:p>
      <w:pPr>
        <w:pStyle w:val="Normal"/>
        <w:tabs>
          <w:tab w:val="clear" w:pos="720"/>
          <w:tab w:val="left" w:pos="2880" w:leader="none"/>
        </w:tabs>
        <w:rPr>
          <w:i/>
          <w:i/>
          <w:sz w:val="22"/>
        </w:rPr>
      </w:pPr>
      <w:r>
        <w:rPr>
          <w:i/>
          <w:sz w:val="22"/>
        </w:rPr>
        <w:tab/>
      </w:r>
      <w:r>
        <w:br w:type="page"/>
      </w:r>
    </w:p>
    <w:p>
      <w:pPr>
        <w:pStyle w:val="Heading5"/>
        <w:rPr/>
      </w:pPr>
      <w:r>
        <w:rPr/>
        <w:t>Western U.S. Markets</w:t>
      </w:r>
    </w:p>
    <w:p>
      <w:pPr>
        <w:pStyle w:val="Heading2"/>
        <w:tabs>
          <w:tab w:val="clear" w:pos="720"/>
          <w:tab w:val="left" w:pos="2880" w:leader="none"/>
        </w:tabs>
        <w:ind w:hanging="0" w:start="0"/>
        <w:rPr/>
      </w:pPr>
      <w:r>
        <w:rPr/>
        <w:tab/>
        <w:t xml:space="preserve">Executive, Energy Company </w:t>
      </w:r>
    </w:p>
    <w:p>
      <w:pPr>
        <w:pStyle w:val="Normal"/>
        <w:tabs>
          <w:tab w:val="clear" w:pos="720"/>
          <w:tab w:val="left" w:pos="2880" w:leader="none"/>
        </w:tabs>
        <w:rPr>
          <w:sz w:val="22"/>
        </w:rPr>
      </w:pPr>
      <w:r>
        <w:rPr>
          <w:sz w:val="22"/>
        </w:rPr>
      </w:r>
    </w:p>
    <w:p>
      <w:pPr>
        <w:pStyle w:val="Normal"/>
        <w:tabs>
          <w:tab w:val="clear" w:pos="720"/>
          <w:tab w:val="left" w:pos="2880" w:leader="none"/>
        </w:tabs>
        <w:rPr/>
      </w:pPr>
      <w:r>
        <w:rPr>
          <w:sz w:val="22"/>
        </w:rPr>
        <w:tab/>
      </w:r>
      <w:r>
        <w:rPr>
          <w:i/>
          <w:sz w:val="22"/>
        </w:rPr>
        <w:t>Gas and Oil Hedging and Electric Markets</w:t>
      </w:r>
    </w:p>
    <w:p>
      <w:pPr>
        <w:pStyle w:val="Normal"/>
        <w:tabs>
          <w:tab w:val="clear" w:pos="720"/>
          <w:tab w:val="left" w:pos="2880" w:leader="none"/>
        </w:tabs>
        <w:rPr/>
      </w:pPr>
      <w:r>
        <w:rPr>
          <w:i/>
          <w:sz w:val="22"/>
        </w:rPr>
        <w:tab/>
      </w:r>
      <w:r>
        <w:rPr>
          <w:sz w:val="22"/>
        </w:rPr>
        <w:t>William Foley, Director, Global Commodities</w:t>
      </w:r>
    </w:p>
    <w:p>
      <w:pPr>
        <w:pStyle w:val="Normal"/>
        <w:tabs>
          <w:tab w:val="clear" w:pos="720"/>
          <w:tab w:val="left" w:pos="2880" w:leader="none"/>
        </w:tabs>
        <w:rPr>
          <w:sz w:val="22"/>
        </w:rPr>
      </w:pPr>
      <w:r>
        <w:rPr>
          <w:sz w:val="22"/>
        </w:rPr>
        <w:tab/>
        <w:t>Deutsche Bank (New York)</w:t>
      </w:r>
    </w:p>
    <w:p>
      <w:pPr>
        <w:pStyle w:val="Normal"/>
        <w:tabs>
          <w:tab w:val="clear" w:pos="720"/>
          <w:tab w:val="left" w:pos="2880" w:leader="none"/>
        </w:tabs>
        <w:rPr>
          <w:sz w:val="22"/>
        </w:rPr>
      </w:pPr>
      <w:r>
        <w:rPr>
          <w:sz w:val="22"/>
        </w:rPr>
        <w:tab/>
      </w:r>
    </w:p>
    <w:p>
      <w:pPr>
        <w:pStyle w:val="Normal"/>
        <w:tabs>
          <w:tab w:val="clear" w:pos="720"/>
          <w:tab w:val="left" w:pos="2880" w:leader="none"/>
        </w:tabs>
        <w:ind w:hanging="2880" w:start="2880" w:end="0"/>
        <w:rPr>
          <w:sz w:val="24"/>
        </w:rPr>
      </w:pPr>
      <w:r>
        <w:rPr>
          <w:i/>
          <w:sz w:val="22"/>
        </w:rPr>
        <w:tab/>
        <w:t xml:space="preserve">Golf Scramble at Skamania Golf Course </w:t>
      </w:r>
      <w:r>
        <w:rPr>
          <w:sz w:val="22"/>
        </w:rPr>
        <w:t>(afternoon)</w:t>
        <w:br/>
        <w:t>Attendees and Spouses (complimentary)</w:t>
      </w:r>
    </w:p>
    <w:p>
      <w:pPr>
        <w:pStyle w:val="Normal"/>
        <w:tabs>
          <w:tab w:val="clear" w:pos="720"/>
          <w:tab w:val="left" w:pos="2880" w:leader="none"/>
        </w:tabs>
        <w:rPr>
          <w:sz w:val="24"/>
        </w:rPr>
      </w:pPr>
      <w:r>
        <w:rPr>
          <w:sz w:val="24"/>
        </w:rPr>
      </w:r>
    </w:p>
    <w:p>
      <w:pPr>
        <w:pStyle w:val="BodyText2"/>
        <w:tabs>
          <w:tab w:val="clear" w:pos="2160"/>
          <w:tab w:val="left" w:pos="2880" w:leader="none"/>
        </w:tabs>
        <w:rPr/>
      </w:pPr>
      <w:r>
        <w:rPr>
          <w:b/>
          <w:u w:val="none"/>
        </w:rPr>
        <w:t>Friday, September 14</w:t>
        <w:tab/>
        <w:t xml:space="preserve">Applied Market Forecasting </w:t>
      </w:r>
      <w:r>
        <w:rPr>
          <w:u w:val="none"/>
        </w:rPr>
        <w:t>(morning)</w:t>
      </w:r>
    </w:p>
    <w:p>
      <w:pPr>
        <w:pStyle w:val="BodyText2"/>
        <w:tabs>
          <w:tab w:val="clear" w:pos="2160"/>
          <w:tab w:val="left" w:pos="2880" w:leader="none"/>
        </w:tabs>
        <w:rPr>
          <w:i/>
          <w:i/>
          <w:u w:val="none"/>
        </w:rPr>
      </w:pPr>
      <w:r>
        <w:rPr>
          <w:i/>
          <w:u w:val="none"/>
        </w:rPr>
      </w:r>
    </w:p>
    <w:p>
      <w:pPr>
        <w:pStyle w:val="BodyText2"/>
        <w:tabs>
          <w:tab w:val="clear" w:pos="2160"/>
          <w:tab w:val="left" w:pos="2880" w:leader="none"/>
        </w:tabs>
        <w:rPr>
          <w:i/>
          <w:i/>
          <w:u w:val="none"/>
        </w:rPr>
      </w:pPr>
      <w:r>
        <w:rPr>
          <w:i/>
          <w:u w:val="none"/>
        </w:rPr>
        <w:t>Data Sources for Modeling</w:t>
      </w:r>
    </w:p>
    <w:p>
      <w:pPr>
        <w:pStyle w:val="BodyText2"/>
        <w:tabs>
          <w:tab w:val="clear" w:pos="2160"/>
          <w:tab w:val="left" w:pos="2880" w:leader="none"/>
        </w:tabs>
        <w:rPr>
          <w:u w:val="none"/>
        </w:rPr>
      </w:pPr>
      <w:r>
        <w:rPr>
          <w:u w:val="none"/>
        </w:rPr>
        <w:tab/>
        <w:t>Sara Bishop, Market Analyst</w:t>
      </w:r>
    </w:p>
    <w:p>
      <w:pPr>
        <w:pStyle w:val="BodyText2"/>
        <w:tabs>
          <w:tab w:val="clear" w:pos="2160"/>
          <w:tab w:val="left" w:pos="2880" w:leader="none"/>
        </w:tabs>
        <w:rPr>
          <w:u w:val="none"/>
        </w:rPr>
      </w:pPr>
      <w:r>
        <w:rPr>
          <w:u w:val="none"/>
        </w:rPr>
        <w:tab/>
        <w:t>Williams Energy Marketing &amp; Trade</w:t>
      </w:r>
    </w:p>
    <w:p>
      <w:pPr>
        <w:pStyle w:val="BodyText2"/>
        <w:tabs>
          <w:tab w:val="clear" w:pos="2160"/>
          <w:tab w:val="left" w:pos="2880" w:leader="none"/>
        </w:tabs>
        <w:rPr>
          <w:u w:val="none"/>
        </w:rPr>
      </w:pPr>
      <w:r>
        <w:rPr>
          <w:u w:val="none"/>
        </w:rPr>
      </w:r>
    </w:p>
    <w:p>
      <w:pPr>
        <w:pStyle w:val="BodyText2"/>
        <w:tabs>
          <w:tab w:val="clear" w:pos="2160"/>
          <w:tab w:val="left" w:pos="2880" w:leader="none"/>
        </w:tabs>
        <w:rPr/>
      </w:pPr>
      <w:r>
        <w:rPr>
          <w:u w:val="none"/>
        </w:rPr>
        <w:tab/>
      </w:r>
      <w:r>
        <w:rPr>
          <w:i/>
          <w:u w:val="none"/>
        </w:rPr>
        <w:t>Electric Market Modeling</w:t>
      </w:r>
    </w:p>
    <w:p>
      <w:pPr>
        <w:pStyle w:val="BodyText2"/>
        <w:tabs>
          <w:tab w:val="clear" w:pos="2160"/>
          <w:tab w:val="left" w:pos="2880" w:leader="none"/>
        </w:tabs>
        <w:rPr>
          <w:u w:val="none"/>
        </w:rPr>
      </w:pPr>
      <w:r>
        <w:rPr>
          <w:u w:val="none"/>
        </w:rPr>
        <w:tab/>
        <w:t>Chris Mitchell, Senior Research Analyst</w:t>
      </w:r>
    </w:p>
    <w:p>
      <w:pPr>
        <w:pStyle w:val="BodyText2"/>
        <w:tabs>
          <w:tab w:val="clear" w:pos="2160"/>
          <w:tab w:val="left" w:pos="2880" w:leader="none"/>
        </w:tabs>
        <w:rPr>
          <w:u w:val="none"/>
        </w:rPr>
      </w:pPr>
      <w:r>
        <w:rPr>
          <w:u w:val="none"/>
        </w:rPr>
        <w:tab/>
        <w:t>Southern California Edison</w:t>
      </w:r>
    </w:p>
    <w:p>
      <w:pPr>
        <w:pStyle w:val="BodyText2"/>
        <w:tabs>
          <w:tab w:val="clear" w:pos="2160"/>
          <w:tab w:val="left" w:pos="2880" w:leader="none"/>
        </w:tabs>
        <w:rPr>
          <w:u w:val="none"/>
        </w:rPr>
      </w:pPr>
      <w:r>
        <w:rPr>
          <w:u w:val="none"/>
        </w:rPr>
      </w:r>
    </w:p>
    <w:p>
      <w:pPr>
        <w:pStyle w:val="BodyText2"/>
        <w:tabs>
          <w:tab w:val="clear" w:pos="2160"/>
          <w:tab w:val="left" w:pos="2880" w:leader="none"/>
        </w:tabs>
        <w:rPr/>
      </w:pPr>
      <w:r>
        <w:rPr>
          <w:u w:val="none"/>
        </w:rPr>
        <w:tab/>
      </w:r>
      <w:r>
        <w:rPr>
          <w:i/>
          <w:u w:val="none"/>
        </w:rPr>
        <w:t>Modeling New Resource Development</w:t>
      </w:r>
    </w:p>
    <w:p>
      <w:pPr>
        <w:pStyle w:val="BodyText2"/>
        <w:tabs>
          <w:tab w:val="clear" w:pos="2160"/>
          <w:tab w:val="left" w:pos="2880" w:leader="none"/>
        </w:tabs>
        <w:rPr/>
      </w:pPr>
      <w:r>
        <w:rPr>
          <w:i/>
          <w:u w:val="none"/>
        </w:rPr>
        <w:tab/>
      </w:r>
      <w:r>
        <w:rPr>
          <w:u w:val="none"/>
        </w:rPr>
        <w:t>Jim Letzelter, President</w:t>
      </w:r>
    </w:p>
    <w:p>
      <w:pPr>
        <w:pStyle w:val="BodyText2"/>
        <w:tabs>
          <w:tab w:val="clear" w:pos="2160"/>
          <w:tab w:val="left" w:pos="2880" w:leader="none"/>
        </w:tabs>
        <w:rPr>
          <w:u w:val="none"/>
        </w:rPr>
      </w:pPr>
      <w:r>
        <w:rPr>
          <w:u w:val="none"/>
        </w:rPr>
        <w:tab/>
        <w:t>GenerSys</w:t>
      </w:r>
    </w:p>
    <w:p>
      <w:pPr>
        <w:pStyle w:val="BodyText2"/>
        <w:tabs>
          <w:tab w:val="clear" w:pos="2160"/>
          <w:tab w:val="left" w:pos="2880" w:leader="none"/>
        </w:tabs>
        <w:rPr>
          <w:u w:val="none"/>
        </w:rPr>
      </w:pPr>
      <w:r>
        <w:rPr>
          <w:u w:val="none"/>
        </w:rPr>
      </w:r>
    </w:p>
    <w:p>
      <w:pPr>
        <w:pStyle w:val="BodyText2"/>
        <w:tabs>
          <w:tab w:val="clear" w:pos="2160"/>
          <w:tab w:val="left" w:pos="2880" w:leader="none"/>
        </w:tabs>
        <w:rPr>
          <w:u w:val="none"/>
        </w:rPr>
      </w:pPr>
      <w:r>
        <w:rPr>
          <w:u w:val="none"/>
        </w:rPr>
        <w:tab/>
      </w:r>
      <w:r>
        <w:rPr>
          <w:i/>
          <w:u w:val="none"/>
        </w:rPr>
        <w:t>Modeling Volume and Price Volatility</w:t>
      </w:r>
    </w:p>
    <w:p>
      <w:pPr>
        <w:pStyle w:val="BodyText2"/>
        <w:tabs>
          <w:tab w:val="clear" w:pos="2160"/>
          <w:tab w:val="left" w:pos="2880" w:leader="none"/>
        </w:tabs>
        <w:rPr>
          <w:u w:val="none"/>
        </w:rPr>
      </w:pPr>
      <w:r>
        <w:rPr>
          <w:u w:val="none"/>
        </w:rPr>
        <w:tab/>
        <w:t>Ned Lesnick, Senior Trading Floor Analyst</w:t>
      </w:r>
    </w:p>
    <w:p>
      <w:pPr>
        <w:pStyle w:val="BodyText2"/>
        <w:tabs>
          <w:tab w:val="clear" w:pos="2160"/>
          <w:tab w:val="left" w:pos="2880" w:leader="none"/>
        </w:tabs>
        <w:rPr>
          <w:u w:val="none"/>
        </w:rPr>
      </w:pPr>
      <w:r>
        <w:rPr>
          <w:u w:val="none"/>
        </w:rPr>
        <w:tab/>
        <w:t>Pinnacle West</w:t>
      </w:r>
    </w:p>
    <w:p>
      <w:pPr>
        <w:pStyle w:val="BodyText"/>
        <w:rPr>
          <w:rFonts w:ascii="Arial Black" w:hAnsi="Arial Black" w:cs="Arial Black"/>
        </w:rPr>
      </w:pPr>
      <w:r>
        <w:rPr>
          <w:rFonts w:cs="Arial Black" w:ascii="Arial Black" w:hAnsi="Arial Black"/>
        </w:rPr>
        <w:t>Accommodations</w:t>
      </w:r>
    </w:p>
    <w:p>
      <w:pPr>
        <w:pStyle w:val="BodyText"/>
        <w:rPr/>
      </w:pPr>
      <w:r>
        <w:rPr/>
        <w:t>Make your own reservations at Skamania Lodge. To reserve a room, call 1-800-221-7117. Mention “EPIS Conference” to get the block room rate. For suggestions on other accommodations, please call EPIS at (503) 722-2023 x201.</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Arial Black" w:ascii="Arial Black" w:hAnsi="Arial Black"/>
          <w:sz w:val="22"/>
        </w:rPr>
        <w:t>Cancellations</w:t>
      </w:r>
    </w:p>
    <w:p>
      <w:pPr>
        <w:pStyle w:val="BodyText"/>
        <w:rPr/>
      </w:pPr>
      <w:r>
        <w:rPr/>
        <w:t>A refund (less $25 administration fee) will be made if written cancellation notice is received by September 1, 2001. A substitute attendee is always welcome at no extra charge.</w:t>
      </w:r>
    </w:p>
    <w:p>
      <w:pPr>
        <w:pStyle w:val="BodyText2"/>
        <w:tabs>
          <w:tab w:val="clear" w:pos="2160"/>
          <w:tab w:val="left" w:pos="2880" w:leader="none"/>
        </w:tabs>
        <w:rPr/>
      </w:pPr>
      <w:r>
        <w:rPr/>
      </w:r>
      <w:r>
        <w:br w:type="page"/>
      </w:r>
    </w:p>
    <w:p>
      <w:pPr>
        <w:pStyle w:val="BodyText2"/>
        <w:tabs>
          <w:tab w:val="clear" w:pos="2160"/>
          <w:tab w:val="left" w:pos="2880" w:leader="none"/>
        </w:tabs>
        <w:rPr>
          <w:b/>
        </w:rPr>
      </w:pPr>
      <w:r>
        <w:rPr>
          <w:b/>
        </w:rPr>
        <w:t>Register for Conference</w:t>
      </w:r>
    </w:p>
    <w:p>
      <w:pPr>
        <w:pStyle w:val="BodyText2"/>
        <w:tabs>
          <w:tab w:val="clear" w:pos="2160"/>
          <w:tab w:val="left" w:pos="2880" w:leader="none"/>
        </w:tabs>
        <w:rPr>
          <w:b/>
          <w:u w:val="none"/>
        </w:rPr>
      </w:pPr>
      <w:r>
        <w:rPr>
          <w:b/>
          <w:u w:val="none"/>
        </w:rPr>
      </w:r>
    </w:p>
    <w:p>
      <w:pPr>
        <w:pStyle w:val="BodyText2"/>
        <w:tabs>
          <w:tab w:val="clear" w:pos="2160"/>
          <w:tab w:val="left" w:pos="2880" w:leader="none"/>
        </w:tabs>
        <w:rPr>
          <w:u w:val="none"/>
        </w:rPr>
      </w:pPr>
      <w:r>
        <w:rPr>
          <w:u w:val="none"/>
        </w:rPr>
        <w:t xml:space="preserve">Register by sending the information below to EPIS by: </w:t>
      </w:r>
    </w:p>
    <w:p>
      <w:pPr>
        <w:pStyle w:val="PlainText"/>
        <w:tabs>
          <w:tab w:val="clear" w:pos="720"/>
          <w:tab w:val="left" w:pos="540" w:leader="none"/>
          <w:tab w:val="left" w:pos="2250" w:leader="none"/>
        </w:tabs>
        <w:spacing w:before="40" w:after="40"/>
        <w:rPr/>
      </w:pPr>
      <w:r>
        <w:rPr>
          <w:rFonts w:cs="Times New Roman" w:ascii="Times New Roman" w:hAnsi="Times New Roman"/>
          <w:b/>
          <w:caps/>
        </w:rPr>
        <w:t>Fax</w:t>
      </w:r>
      <w:r>
        <w:rPr>
          <w:rFonts w:cs="Times New Roman" w:ascii="Times New Roman" w:hAnsi="Times New Roman"/>
        </w:rPr>
        <w:tab/>
        <w:t>(503) 722-7130</w:t>
        <w:tab/>
      </w:r>
      <w:r>
        <w:rPr>
          <w:rFonts w:cs="Times New Roman" w:ascii="Times New Roman" w:hAnsi="Times New Roman"/>
          <w:b/>
        </w:rPr>
        <w:t xml:space="preserve">MAIL </w:t>
      </w:r>
      <w:r>
        <w:rPr>
          <w:rFonts w:cs="Times New Roman" w:ascii="Times New Roman" w:hAnsi="Times New Roman"/>
        </w:rPr>
        <w:t>1800 Blankenship Rd., Suite 350, West Linn, OR 97068</w:t>
      </w:r>
    </w:p>
    <w:p>
      <w:pPr>
        <w:pStyle w:val="BodyText2"/>
        <w:tabs>
          <w:tab w:val="clear" w:pos="2160"/>
          <w:tab w:val="left" w:pos="2880" w:leader="none"/>
        </w:tabs>
        <w:rPr/>
      </w:pPr>
      <w:r>
        <w:rPr/>
        <w:t xml:space="preserve">Or register by </w:t>
      </w:r>
      <w:r>
        <w:rPr>
          <w:b/>
          <w:caps/>
        </w:rPr>
        <w:t>phone</w:t>
      </w:r>
      <w:r>
        <w:rPr/>
        <w:t xml:space="preserve"> at (503) 722-2023 x201.</w:t>
      </w:r>
    </w:p>
    <w:p>
      <w:pPr>
        <w:pStyle w:val="BodyText2"/>
        <w:tabs>
          <w:tab w:val="clear" w:pos="2160"/>
          <w:tab w:val="left" w:pos="2880" w:leader="none"/>
        </w:tabs>
        <w:rPr/>
      </w:pPr>
      <w:r>
        <w:rPr/>
      </w:r>
    </w:p>
    <w:tbl>
      <w:tblPr>
        <w:tblW w:w="7938" w:type="dxa"/>
        <w:jc w:val="start"/>
        <w:tblInd w:w="0" w:type="dxa"/>
        <w:tblLayout w:type="fixed"/>
        <w:tblCellMar>
          <w:top w:w="0" w:type="dxa"/>
          <w:start w:w="108" w:type="dxa"/>
          <w:bottom w:w="0" w:type="dxa"/>
          <w:end w:w="108" w:type="dxa"/>
        </w:tblCellMar>
      </w:tblPr>
      <w:tblGrid>
        <w:gridCol w:w="7938"/>
      </w:tblGrid>
      <w:tr>
        <w:trPr>
          <w:trHeight w:val="2420" w:hRule="atLeast"/>
        </w:trPr>
        <w:tc>
          <w:tcPr>
            <w:tcW w:w="7938" w:type="dxa"/>
            <w:tcBorders>
              <w:top w:val="single" w:sz="4" w:space="0" w:color="000000"/>
              <w:start w:val="single" w:sz="4" w:space="0" w:color="000000"/>
              <w:bottom w:val="single" w:sz="4" w:space="0" w:color="000000"/>
              <w:end w:val="single" w:sz="4" w:space="0" w:color="000000"/>
            </w:tcBorders>
          </w:tcPr>
          <w:p>
            <w:pPr>
              <w:pStyle w:val="PlainText"/>
              <w:spacing w:before="40" w:after="40"/>
              <w:rPr>
                <w:rFonts w:ascii="Arial Black" w:hAnsi="Arial Black" w:cs="Arial Black"/>
                <w:sz w:val="22"/>
              </w:rPr>
            </w:pPr>
            <w:r>
              <w:rPr>
                <w:rFonts w:cs="Arial Black" w:ascii="Arial Black" w:hAnsi="Arial Black"/>
                <w:sz w:val="22"/>
              </w:rPr>
              <w:t>2001 Electric Market Forecasting Conference</w:t>
            </w:r>
          </w:p>
          <w:p>
            <w:pPr>
              <w:pStyle w:val="PlainText"/>
              <w:tabs>
                <w:tab w:val="clear" w:pos="720"/>
                <w:tab w:val="left" w:pos="3150" w:leader="none"/>
              </w:tabs>
              <w:spacing w:before="40" w:after="40"/>
              <w:rPr>
                <w:rFonts w:ascii="Times New Roman" w:hAnsi="Times New Roman" w:cs="Times New Roman"/>
                <w:i/>
                <w:i/>
                <w:sz w:val="22"/>
              </w:rPr>
            </w:pPr>
            <w:r>
              <w:rPr>
                <w:rFonts w:cs="Times New Roman" w:ascii="Times New Roman" w:hAnsi="Times New Roman"/>
                <w:i/>
                <w:sz w:val="22"/>
              </w:rPr>
              <w:t>Skamania Lodge, Washington, 45 minutes East of Portland, Oregon</w:t>
              <w:br/>
              <w:t>September 12-14, 2001</w:t>
            </w:r>
          </w:p>
          <w:p>
            <w:pPr>
              <w:pStyle w:val="PlainText"/>
              <w:spacing w:before="40" w:after="40"/>
              <w:rPr>
                <w:rFonts w:ascii="Arial Black" w:hAnsi="Arial Black" w:cs="Arial Black"/>
                <w:sz w:val="22"/>
              </w:rPr>
            </w:pPr>
            <w:r>
              <w:rPr>
                <w:rFonts w:cs="Arial Black" w:ascii="Arial Black" w:hAnsi="Arial Black"/>
                <w:sz w:val="22"/>
              </w:rPr>
              <w:t>Registration Information</w:t>
            </w:r>
          </w:p>
          <w:p>
            <w:pPr>
              <w:pStyle w:val="PlainText"/>
              <w:tabs>
                <w:tab w:val="clear" w:pos="720"/>
                <w:tab w:val="left" w:pos="1080" w:leader="none"/>
              </w:tabs>
              <w:spacing w:before="40" w:after="40"/>
              <w:rPr>
                <w:rFonts w:ascii="Times New Roman" w:hAnsi="Times New Roman" w:cs="Times New Roman"/>
                <w:caps/>
                <w:sz w:val="22"/>
              </w:rPr>
            </w:pPr>
            <w:r>
              <w:rPr>
                <w:rFonts w:cs="Times New Roman" w:ascii="Times New Roman" w:hAnsi="Times New Roman"/>
                <w:caps/>
                <w:sz w:val="22"/>
              </w:rPr>
              <w:t>Name:</w:t>
              <w:tab/>
              <w:t>_____________________________________________________</w:t>
            </w:r>
          </w:p>
          <w:p>
            <w:pPr>
              <w:pStyle w:val="PlainText"/>
              <w:tabs>
                <w:tab w:val="clear" w:pos="720"/>
                <w:tab w:val="left" w:pos="1080" w:leader="none"/>
              </w:tabs>
              <w:spacing w:before="40" w:after="40"/>
              <w:rPr>
                <w:rFonts w:ascii="Times New Roman" w:hAnsi="Times New Roman" w:cs="Times New Roman"/>
                <w:caps/>
                <w:sz w:val="22"/>
              </w:rPr>
            </w:pPr>
            <w:r>
              <w:rPr>
                <w:rFonts w:cs="Times New Roman" w:ascii="Times New Roman" w:hAnsi="Times New Roman"/>
                <w:caps/>
                <w:sz w:val="22"/>
              </w:rPr>
              <w:t>Title:</w:t>
              <w:tab/>
              <w:t>_____________________________________________________</w:t>
            </w:r>
          </w:p>
          <w:p>
            <w:pPr>
              <w:pStyle w:val="PlainText"/>
              <w:tabs>
                <w:tab w:val="clear" w:pos="720"/>
                <w:tab w:val="left" w:pos="1080" w:leader="none"/>
              </w:tabs>
              <w:spacing w:before="40" w:after="40"/>
              <w:rPr>
                <w:rFonts w:ascii="Times New Roman" w:hAnsi="Times New Roman" w:cs="Times New Roman"/>
                <w:caps/>
                <w:sz w:val="22"/>
              </w:rPr>
            </w:pPr>
            <w:r>
              <w:rPr>
                <w:rFonts w:cs="Times New Roman" w:ascii="Times New Roman" w:hAnsi="Times New Roman"/>
                <w:caps/>
                <w:sz w:val="22"/>
              </w:rPr>
              <w:t>Organization:</w:t>
              <w:tab/>
              <w:t>___________________________________________</w:t>
            </w:r>
          </w:p>
          <w:p>
            <w:pPr>
              <w:pStyle w:val="PlainText"/>
              <w:tabs>
                <w:tab w:val="clear" w:pos="720"/>
                <w:tab w:val="left" w:pos="1080" w:leader="none"/>
              </w:tabs>
              <w:spacing w:before="40" w:after="40"/>
              <w:rPr>
                <w:rFonts w:ascii="Times New Roman" w:hAnsi="Times New Roman" w:cs="Times New Roman"/>
                <w:caps/>
                <w:sz w:val="22"/>
              </w:rPr>
            </w:pPr>
            <w:r>
              <w:rPr>
                <w:rFonts w:cs="Times New Roman" w:ascii="Times New Roman" w:hAnsi="Times New Roman"/>
                <w:caps/>
                <w:sz w:val="22"/>
              </w:rPr>
              <w:t>Address:</w:t>
              <w:tab/>
              <w:t>_____________________________________________________</w:t>
            </w:r>
          </w:p>
          <w:p>
            <w:pPr>
              <w:pStyle w:val="PlainText"/>
              <w:tabs>
                <w:tab w:val="clear" w:pos="720"/>
                <w:tab w:val="left" w:pos="1080" w:leader="none"/>
                <w:tab w:val="left" w:pos="3420" w:leader="none"/>
                <w:tab w:val="left" w:pos="4140" w:leader="none"/>
                <w:tab w:val="left" w:pos="4950" w:leader="none"/>
                <w:tab w:val="left" w:pos="5400" w:leader="none"/>
              </w:tabs>
              <w:spacing w:before="40" w:after="40"/>
              <w:rPr>
                <w:rFonts w:ascii="Times New Roman" w:hAnsi="Times New Roman" w:cs="Times New Roman"/>
                <w:caps/>
                <w:sz w:val="22"/>
              </w:rPr>
            </w:pPr>
            <w:r>
              <w:rPr>
                <w:rFonts w:cs="Times New Roman" w:ascii="Times New Roman" w:hAnsi="Times New Roman"/>
                <w:caps/>
                <w:sz w:val="22"/>
              </w:rPr>
              <w:t>City:</w:t>
              <w:tab/>
              <w:t>____________________</w:t>
              <w:tab/>
              <w:t>State</w:t>
              <w:tab/>
              <w:t>______</w:t>
              <w:tab/>
              <w:t>Zip</w:t>
              <w:tab/>
              <w:t>______________</w:t>
            </w:r>
          </w:p>
          <w:p>
            <w:pPr>
              <w:pStyle w:val="PlainText"/>
              <w:tabs>
                <w:tab w:val="clear" w:pos="720"/>
                <w:tab w:val="left" w:pos="1080" w:leader="none"/>
                <w:tab w:val="left" w:pos="3060" w:leader="none"/>
              </w:tabs>
              <w:spacing w:before="40" w:after="40"/>
              <w:rPr>
                <w:rFonts w:ascii="Times New Roman" w:hAnsi="Times New Roman" w:cs="Times New Roman"/>
                <w:caps/>
                <w:sz w:val="22"/>
              </w:rPr>
            </w:pPr>
            <w:r>
              <w:rPr>
                <w:rFonts w:cs="Times New Roman" w:ascii="Times New Roman" w:hAnsi="Times New Roman"/>
                <w:caps/>
                <w:sz w:val="22"/>
              </w:rPr>
              <w:t>Phone:</w:t>
              <w:tab/>
              <w:t>(       ) _________________</w:t>
              <w:tab/>
              <w:t>Fax:  (        ) __________________</w:t>
            </w:r>
          </w:p>
          <w:p>
            <w:pPr>
              <w:pStyle w:val="PlainText"/>
              <w:tabs>
                <w:tab w:val="clear" w:pos="720"/>
                <w:tab w:val="left" w:pos="1080" w:leader="none"/>
              </w:tabs>
              <w:spacing w:before="40" w:after="40"/>
              <w:rPr/>
            </w:pPr>
            <w:r>
              <w:rPr>
                <w:rFonts w:cs="Times New Roman" w:ascii="Times New Roman" w:hAnsi="Times New Roman"/>
                <w:caps/>
                <w:sz w:val="22"/>
              </w:rPr>
              <w:t>Email:</w:t>
            </w:r>
            <w:r>
              <w:rPr>
                <w:rFonts w:cs="Times New Roman" w:ascii="Times New Roman" w:hAnsi="Times New Roman"/>
                <w:sz w:val="22"/>
              </w:rPr>
              <w:tab/>
              <w:t>_____________________________________________________</w:t>
            </w:r>
          </w:p>
          <w:p>
            <w:pPr>
              <w:pStyle w:val="PlainText"/>
              <w:spacing w:before="40" w:after="40"/>
              <w:rPr>
                <w:rFonts w:ascii="Arial Black" w:hAnsi="Arial Black" w:cs="Arial Black"/>
                <w:sz w:val="22"/>
              </w:rPr>
            </w:pPr>
            <w:r>
              <w:rPr>
                <w:rFonts w:cs="Arial Black" w:ascii="Arial Black" w:hAnsi="Arial Black"/>
                <w:sz w:val="22"/>
              </w:rPr>
              <w:t>Conference and Payment Options</w:t>
            </w:r>
          </w:p>
          <w:p>
            <w:pPr>
              <w:pStyle w:val="PlainText"/>
              <w:tabs>
                <w:tab w:val="clear" w:pos="720"/>
                <w:tab w:val="left" w:pos="270" w:leader="none"/>
                <w:tab w:val="left" w:pos="2700" w:leader="none"/>
                <w:tab w:val="right" w:pos="6480" w:leader="none"/>
              </w:tabs>
              <w:ind w:hanging="270" w:start="270" w:end="0"/>
              <w:rPr>
                <w:rFonts w:ascii="Times New Roman" w:hAnsi="Times New Roman" w:cs="Times New Roman"/>
                <w:sz w:val="22"/>
              </w:rPr>
            </w:pPr>
            <w:r>
              <w:rPr>
                <w:rFonts w:eastAsia="Symbol" w:cs="Symbol" w:ascii="Symbol" w:hAnsi="Symbol"/>
                <w:sz w:val="22"/>
              </w:rPr>
              <w:sym w:font="Symbol" w:char="f07f"/>
            </w:r>
            <w:r>
              <w:rPr>
                <w:rFonts w:cs="Times New Roman" w:ascii="Times New Roman" w:hAnsi="Times New Roman"/>
                <w:sz w:val="22"/>
              </w:rPr>
              <w:tab/>
              <w:t xml:space="preserve">Conference Registration </w:t>
              <w:tab/>
            </w:r>
            <w:r>
              <w:rPr>
                <w:rFonts w:cs="Times New Roman" w:ascii="Times New Roman" w:hAnsi="Times New Roman"/>
                <w:i/>
                <w:sz w:val="22"/>
              </w:rPr>
              <w:t>(by June 30, 2001)</w:t>
            </w:r>
            <w:r>
              <w:rPr>
                <w:rFonts w:cs="Times New Roman" w:ascii="Times New Roman" w:hAnsi="Times New Roman"/>
                <w:sz w:val="22"/>
              </w:rPr>
              <w:t xml:space="preserve"> </w:t>
              <w:tab/>
            </w:r>
            <w:r>
              <w:rPr>
                <w:rFonts w:cs="Arial Black" w:ascii="Arial Black" w:hAnsi="Arial Black"/>
                <w:sz w:val="22"/>
              </w:rPr>
              <w:t>$399</w:t>
            </w:r>
          </w:p>
          <w:p>
            <w:pPr>
              <w:pStyle w:val="PlainText"/>
              <w:tabs>
                <w:tab w:val="clear" w:pos="720"/>
                <w:tab w:val="left" w:pos="270" w:leader="none"/>
                <w:tab w:val="left" w:pos="2700" w:leader="none"/>
                <w:tab w:val="right" w:pos="6480" w:leader="none"/>
              </w:tabs>
              <w:ind w:hanging="270" w:start="270" w:end="0"/>
              <w:rPr>
                <w:rFonts w:ascii="Times New Roman" w:hAnsi="Times New Roman" w:cs="Times New Roman"/>
                <w:sz w:val="22"/>
              </w:rPr>
            </w:pPr>
            <w:r>
              <w:rPr>
                <w:rFonts w:cs="Times New Roman" w:ascii="Times New Roman" w:hAnsi="Times New Roman"/>
                <w:sz w:val="22"/>
              </w:rPr>
              <w:tab/>
              <w:tab/>
            </w:r>
            <w:r>
              <w:rPr>
                <w:rFonts w:cs="Times New Roman" w:ascii="Times New Roman" w:hAnsi="Times New Roman"/>
                <w:i/>
                <w:sz w:val="22"/>
              </w:rPr>
              <w:t>(July 1, 2001 or after)</w:t>
            </w:r>
            <w:r>
              <w:rPr>
                <w:rFonts w:cs="Times New Roman" w:ascii="Times New Roman" w:hAnsi="Times New Roman"/>
                <w:sz w:val="22"/>
              </w:rPr>
              <w:tab/>
            </w:r>
            <w:r>
              <w:rPr>
                <w:rFonts w:cs="Arial Black" w:ascii="Arial Black" w:hAnsi="Arial Black"/>
                <w:sz w:val="22"/>
              </w:rPr>
              <w:t>$499</w:t>
            </w:r>
          </w:p>
          <w:p>
            <w:pPr>
              <w:pStyle w:val="PlainText"/>
              <w:tabs>
                <w:tab w:val="clear" w:pos="720"/>
                <w:tab w:val="left" w:pos="270" w:leader="none"/>
                <w:tab w:val="right" w:pos="6480" w:leader="none"/>
              </w:tabs>
              <w:ind w:hanging="270" w:start="270" w:end="0"/>
              <w:rPr>
                <w:rFonts w:ascii="Times New Roman" w:hAnsi="Times New Roman" w:cs="Times New Roman"/>
                <w:strike/>
                <w:sz w:val="22"/>
              </w:rPr>
            </w:pPr>
            <w:r>
              <w:rPr>
                <w:rFonts w:eastAsia="Symbol" w:cs="Symbol" w:ascii="Symbol" w:hAnsi="Symbol"/>
                <w:sz w:val="22"/>
              </w:rPr>
              <w:sym w:font="Symbol" w:char="f07f"/>
            </w:r>
            <w:r>
              <w:rPr>
                <w:rFonts w:cs="Times New Roman" w:ascii="Times New Roman" w:hAnsi="Times New Roman"/>
                <w:sz w:val="22"/>
              </w:rPr>
              <w:tab/>
            </w:r>
            <w:r>
              <w:rPr>
                <w:rFonts w:cs="Times New Roman" w:ascii="Times New Roman" w:hAnsi="Times New Roman"/>
                <w:i/>
                <w:sz w:val="22"/>
              </w:rPr>
              <w:t>Energy Market Modeling Pre-conference Workshop</w:t>
            </w:r>
            <w:r>
              <w:rPr>
                <w:rFonts w:cs="Times New Roman" w:ascii="Times New Roman" w:hAnsi="Times New Roman"/>
                <w:sz w:val="22"/>
              </w:rPr>
              <w:tab/>
            </w:r>
            <w:r>
              <w:rPr>
                <w:rFonts w:cs="Arial Black" w:ascii="Arial Black" w:hAnsi="Arial Black"/>
                <w:sz w:val="22"/>
              </w:rPr>
              <w:t>Included</w:t>
            </w:r>
          </w:p>
          <w:p>
            <w:pPr>
              <w:pStyle w:val="PlainText"/>
              <w:spacing w:before="40" w:after="40"/>
              <w:rPr>
                <w:rFonts w:ascii="Arial Black" w:hAnsi="Arial Black" w:cs="Arial Black"/>
                <w:sz w:val="22"/>
              </w:rPr>
            </w:pPr>
            <w:r>
              <w:rPr>
                <w:rFonts w:cs="Arial Black" w:ascii="Arial Black" w:hAnsi="Arial Black"/>
                <w:sz w:val="22"/>
              </w:rPr>
              <w:t>Payment Method</w:t>
            </w:r>
          </w:p>
          <w:p>
            <w:pPr>
              <w:pStyle w:val="PlainText"/>
              <w:tabs>
                <w:tab w:val="clear" w:pos="720"/>
                <w:tab w:val="left" w:pos="270" w:leader="none"/>
              </w:tabs>
              <w:rPr/>
            </w:pPr>
            <w:r>
              <w:rPr>
                <w:rFonts w:eastAsia="Symbol" w:cs="Symbol" w:ascii="Symbol" w:hAnsi="Symbol"/>
                <w:sz w:val="22"/>
              </w:rPr>
              <w:sym w:font="Symbol" w:char="f07f"/>
            </w:r>
            <w:r>
              <w:rPr>
                <w:rFonts w:cs="Times New Roman" w:ascii="Times New Roman" w:hAnsi="Times New Roman"/>
                <w:sz w:val="22"/>
              </w:rPr>
              <w:tab/>
              <w:t>I have enclosed a check for the full amount of  $_________________________</w:t>
            </w:r>
          </w:p>
          <w:p>
            <w:pPr>
              <w:pStyle w:val="PlainText"/>
              <w:tabs>
                <w:tab w:val="clear" w:pos="720"/>
                <w:tab w:val="left" w:pos="270" w:leader="none"/>
                <w:tab w:val="left" w:pos="1890" w:leader="none"/>
                <w:tab w:val="left" w:pos="2160" w:leader="none"/>
                <w:tab w:val="left" w:pos="2880" w:leader="none"/>
                <w:tab w:val="left" w:pos="3150" w:leader="none"/>
                <w:tab w:val="left" w:pos="4500" w:leader="none"/>
                <w:tab w:val="left" w:pos="4770" w:leader="none"/>
              </w:tabs>
              <w:rPr/>
            </w:pPr>
            <w:r>
              <w:rPr>
                <w:rFonts w:cs="Times New Roman" w:ascii="Times New Roman" w:hAnsi="Times New Roman"/>
                <w:sz w:val="22"/>
              </w:rPr>
              <w:t>Please charge my:</w:t>
              <w:tab/>
            </w:r>
            <w:r>
              <w:rPr>
                <w:rFonts w:eastAsia="Symbol" w:cs="Symbol" w:ascii="Symbol" w:hAnsi="Symbol"/>
                <w:sz w:val="22"/>
              </w:rPr>
              <w:sym w:font="Symbol" w:char="f07f"/>
            </w:r>
            <w:r>
              <w:rPr>
                <w:rFonts w:cs="Times New Roman" w:ascii="Times New Roman" w:hAnsi="Times New Roman"/>
                <w:sz w:val="22"/>
              </w:rPr>
              <w:tab/>
              <w:t>Visa</w:t>
              <w:tab/>
            </w:r>
            <w:r>
              <w:rPr>
                <w:rFonts w:eastAsia="Symbol" w:cs="Symbol" w:ascii="Symbol" w:hAnsi="Symbol"/>
                <w:sz w:val="22"/>
              </w:rPr>
              <w:sym w:font="Symbol" w:char="f07f"/>
            </w:r>
            <w:r>
              <w:rPr>
                <w:rFonts w:cs="Times New Roman" w:ascii="Times New Roman" w:hAnsi="Times New Roman"/>
                <w:sz w:val="22"/>
              </w:rPr>
              <w:tab/>
              <w:t>MasterCard</w:t>
              <w:tab/>
            </w:r>
            <w:r>
              <w:rPr>
                <w:rFonts w:eastAsia="Symbol" w:cs="Symbol" w:ascii="Symbol" w:hAnsi="Symbol"/>
                <w:sz w:val="22"/>
              </w:rPr>
              <w:sym w:font="Symbol" w:char="f07f"/>
            </w:r>
            <w:r>
              <w:rPr>
                <w:rFonts w:cs="Times New Roman" w:ascii="Times New Roman" w:hAnsi="Times New Roman"/>
                <w:sz w:val="22"/>
              </w:rPr>
              <w:tab/>
              <w:t xml:space="preserve">American Express </w:t>
            </w:r>
          </w:p>
          <w:p>
            <w:pPr>
              <w:pStyle w:val="PlainText"/>
              <w:tabs>
                <w:tab w:val="clear" w:pos="720"/>
                <w:tab w:val="left" w:pos="270" w:leader="none"/>
                <w:tab w:val="left" w:pos="1980" w:leader="none"/>
                <w:tab w:val="left" w:pos="2160" w:leader="none"/>
                <w:tab w:val="left" w:pos="2790" w:leader="none"/>
                <w:tab w:val="left" w:pos="3060" w:leader="none"/>
              </w:tabs>
              <w:rPr>
                <w:rFonts w:ascii="Times New Roman" w:hAnsi="Times New Roman" w:cs="Times New Roman"/>
                <w:sz w:val="22"/>
              </w:rPr>
            </w:pPr>
            <w:r>
              <w:rPr>
                <w:rFonts w:cs="Times New Roman" w:ascii="Times New Roman" w:hAnsi="Times New Roman"/>
                <w:sz w:val="22"/>
              </w:rPr>
              <w:t>for the full amount of $___________________</w:t>
            </w:r>
          </w:p>
          <w:p>
            <w:pPr>
              <w:pStyle w:val="PlainText"/>
              <w:rPr>
                <w:rFonts w:ascii="Times New Roman" w:hAnsi="Times New Roman" w:cs="Times New Roman"/>
                <w:sz w:val="22"/>
              </w:rPr>
            </w:pPr>
            <w:r>
              <w:rPr>
                <w:rFonts w:cs="Times New Roman" w:ascii="Times New Roman" w:hAnsi="Times New Roman"/>
                <w:sz w:val="22"/>
              </w:rPr>
            </w:r>
          </w:p>
          <w:p>
            <w:pPr>
              <w:pStyle w:val="PlainText"/>
              <w:tabs>
                <w:tab w:val="clear" w:pos="720"/>
                <w:tab w:val="left" w:pos="270" w:leader="none"/>
                <w:tab w:val="left" w:pos="3960" w:leader="none"/>
              </w:tabs>
              <w:rPr/>
            </w:pPr>
            <w:r>
              <w:rPr>
                <w:rFonts w:cs="Times New Roman" w:ascii="Times New Roman" w:hAnsi="Times New Roman"/>
                <w:sz w:val="22"/>
              </w:rPr>
              <w:tab/>
            </w:r>
            <w:r>
              <w:rPr>
                <w:rFonts w:cs="Times New Roman" w:ascii="Times New Roman" w:hAnsi="Times New Roman"/>
                <w:caps/>
              </w:rPr>
              <w:t>Card number: ___________________________</w:t>
              <w:tab/>
              <w:t>Exp. Date:  ________</w:t>
            </w:r>
          </w:p>
          <w:p>
            <w:pPr>
              <w:pStyle w:val="PlainText"/>
              <w:rPr>
                <w:rFonts w:ascii="Times New Roman" w:hAnsi="Times New Roman" w:cs="Times New Roman"/>
                <w:caps/>
              </w:rPr>
            </w:pPr>
            <w:r>
              <w:rPr>
                <w:rFonts w:cs="Times New Roman" w:ascii="Times New Roman" w:hAnsi="Times New Roman"/>
                <w:caps/>
              </w:rPr>
            </w:r>
          </w:p>
          <w:p>
            <w:pPr>
              <w:pStyle w:val="PlainText"/>
              <w:tabs>
                <w:tab w:val="clear" w:pos="720"/>
                <w:tab w:val="left" w:pos="270" w:leader="none"/>
              </w:tabs>
              <w:rPr>
                <w:rFonts w:ascii="Times New Roman" w:hAnsi="Times New Roman" w:cs="Times New Roman"/>
                <w:caps/>
              </w:rPr>
            </w:pPr>
            <w:r>
              <w:rPr>
                <w:rFonts w:cs="Times New Roman" w:ascii="Times New Roman" w:hAnsi="Times New Roman"/>
                <w:caps/>
              </w:rPr>
              <w:tab/>
              <w:t>Signature: _______________________________________________________</w:t>
            </w:r>
          </w:p>
          <w:p>
            <w:pPr>
              <w:pStyle w:val="PlainText"/>
              <w:rPr>
                <w:rFonts w:ascii="Times New Roman" w:hAnsi="Times New Roman" w:cs="Times New Roman"/>
                <w:caps/>
              </w:rPr>
            </w:pPr>
            <w:r>
              <w:rPr>
                <w:rFonts w:cs="Times New Roman" w:ascii="Times New Roman" w:hAnsi="Times New Roman"/>
                <w:caps/>
              </w:rPr>
            </w:r>
          </w:p>
          <w:p>
            <w:pPr>
              <w:pStyle w:val="PlainText"/>
              <w:tabs>
                <w:tab w:val="clear" w:pos="720"/>
                <w:tab w:val="left" w:pos="270" w:leader="none"/>
              </w:tabs>
              <w:spacing w:before="0" w:after="40"/>
              <w:rPr>
                <w:rFonts w:ascii="Times New Roman" w:hAnsi="Times New Roman" w:cs="Times New Roman"/>
                <w:caps/>
              </w:rPr>
            </w:pPr>
            <w:r>
              <w:rPr>
                <w:rFonts w:cs="Times New Roman" w:ascii="Times New Roman" w:hAnsi="Times New Roman"/>
                <w:caps/>
              </w:rPr>
              <w:tab/>
              <w:t>Account address (if different): ________________________________</w:t>
            </w:r>
          </w:p>
          <w:p>
            <w:pPr>
              <w:pStyle w:val="PlainText"/>
              <w:tabs>
                <w:tab w:val="clear" w:pos="720"/>
                <w:tab w:val="left" w:pos="270" w:leader="none"/>
                <w:tab w:val="left" w:pos="2790" w:leader="none"/>
                <w:tab w:val="left" w:pos="3780" w:leader="none"/>
              </w:tabs>
              <w:spacing w:before="0" w:after="40"/>
              <w:rPr>
                <w:rFonts w:ascii="Times New Roman" w:hAnsi="Times New Roman" w:cs="Times New Roman"/>
                <w:sz w:val="22"/>
              </w:rPr>
            </w:pPr>
            <w:r>
              <w:rPr>
                <w:rFonts w:cs="Times New Roman" w:ascii="Times New Roman" w:hAnsi="Times New Roman"/>
                <w:caps/>
              </w:rPr>
              <w:tab/>
              <w:tab/>
              <w:t>ZIP CODE:</w:t>
              <w:tab/>
              <w:t>___________________</w:t>
            </w:r>
          </w:p>
          <w:p>
            <w:pPr>
              <w:pStyle w:val="PlainText"/>
              <w:rPr>
                <w:rFonts w:ascii="Times New Roman" w:hAnsi="Times New Roman" w:cs="Times New Roman"/>
                <w:sz w:val="22"/>
              </w:rPr>
            </w:pPr>
            <w:r>
              <w:rPr>
                <w:rFonts w:cs="Times New Roman" w:ascii="Times New Roman" w:hAnsi="Times New Roman"/>
                <w:sz w:val="22"/>
              </w:rPr>
            </w:r>
          </w:p>
          <w:p>
            <w:pPr>
              <w:pStyle w:val="PlainText"/>
              <w:spacing w:before="40" w:after="40"/>
              <w:rPr>
                <w:rFonts w:ascii="Times New Roman" w:hAnsi="Times New Roman" w:cs="Times New Roman"/>
                <w:sz w:val="22"/>
              </w:rPr>
            </w:pPr>
            <w:r>
              <w:rPr>
                <w:rFonts w:cs="Times New Roman" w:ascii="Times New Roman" w:hAnsi="Times New Roman"/>
                <w:sz w:val="22"/>
              </w:rPr>
              <w:t>Please return to EPIS, Inc., by:</w:t>
            </w:r>
          </w:p>
          <w:p>
            <w:pPr>
              <w:pStyle w:val="PlainText"/>
              <w:tabs>
                <w:tab w:val="clear" w:pos="720"/>
                <w:tab w:val="left" w:pos="540" w:leader="none"/>
                <w:tab w:val="left" w:pos="2250" w:leader="none"/>
              </w:tabs>
              <w:spacing w:before="40" w:after="40"/>
              <w:rPr/>
            </w:pPr>
            <w:r>
              <w:rPr>
                <w:rFonts w:cs="Times New Roman" w:ascii="Times New Roman" w:hAnsi="Times New Roman"/>
                <w:b/>
                <w:caps/>
              </w:rPr>
              <w:t>Fax</w:t>
            </w:r>
            <w:r>
              <w:rPr>
                <w:rFonts w:cs="Times New Roman" w:ascii="Times New Roman" w:hAnsi="Times New Roman"/>
              </w:rPr>
              <w:tab/>
              <w:t>(503) 722-7130</w:t>
              <w:tab/>
            </w:r>
            <w:r>
              <w:rPr>
                <w:rFonts w:cs="Times New Roman" w:ascii="Times New Roman" w:hAnsi="Times New Roman"/>
                <w:b/>
              </w:rPr>
              <w:t xml:space="preserve">MAIL </w:t>
            </w:r>
            <w:r>
              <w:rPr>
                <w:rFonts w:cs="Times New Roman" w:ascii="Times New Roman" w:hAnsi="Times New Roman"/>
              </w:rPr>
              <w:t>1800 Blankenship Rd., Suite 350, West Linn, OR 97068</w:t>
            </w:r>
          </w:p>
          <w:p>
            <w:pPr>
              <w:pStyle w:val="PlainText"/>
              <w:spacing w:before="40" w:after="40"/>
              <w:rPr>
                <w:sz w:val="22"/>
              </w:rPr>
            </w:pPr>
            <w:r>
              <w:rPr>
                <w:rFonts w:cs="Times New Roman" w:ascii="Times New Roman" w:hAnsi="Times New Roman"/>
              </w:rPr>
              <w:t xml:space="preserve">Or register by </w:t>
            </w:r>
            <w:r>
              <w:rPr>
                <w:rFonts w:cs="Times New Roman" w:ascii="Times New Roman" w:hAnsi="Times New Roman"/>
                <w:b/>
                <w:caps/>
              </w:rPr>
              <w:t>phone</w:t>
            </w:r>
            <w:r>
              <w:rPr>
                <w:rFonts w:cs="Times New Roman" w:ascii="Times New Roman" w:hAnsi="Times New Roman"/>
              </w:rPr>
              <w:t xml:space="preserve"> at (503) 722-2023 x201.</w:t>
            </w:r>
          </w:p>
        </w:tc>
      </w:tr>
    </w:tbl>
    <w:p>
      <w:pPr>
        <w:pStyle w:val="Normal"/>
        <w:rPr>
          <w:sz w:val="22"/>
        </w:rPr>
      </w:pPr>
      <w:r>
        <w:rPr>
          <w:sz w:val="22"/>
        </w:rPr>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2"/>
      <w:u w:val="single"/>
    </w:rPr>
  </w:style>
  <w:style w:type="paragraph" w:styleId="Heading2">
    <w:name w:val="heading 2"/>
    <w:basedOn w:val="Normal"/>
    <w:next w:val="Normal"/>
    <w:qFormat/>
    <w:pPr>
      <w:keepNext w:val="true"/>
      <w:numPr>
        <w:ilvl w:val="1"/>
        <w:numId w:val="1"/>
      </w:numPr>
      <w:outlineLvl w:val="1"/>
    </w:pPr>
    <w:rPr>
      <w:i/>
      <w:sz w:val="22"/>
    </w:rPr>
  </w:style>
  <w:style w:type="paragraph" w:styleId="Heading3">
    <w:name w:val="heading 3"/>
    <w:basedOn w:val="Normal"/>
    <w:next w:val="Normal"/>
    <w:qFormat/>
    <w:pPr>
      <w:keepNext w:val="true"/>
      <w:numPr>
        <w:ilvl w:val="2"/>
        <w:numId w:val="1"/>
      </w:numPr>
      <w:ind w:firstLine="720" w:start="2160" w:end="0"/>
      <w:outlineLvl w:val="2"/>
    </w:pPr>
    <w:rPr>
      <w:rFonts w:ascii="Garamond" w:hAnsi="Garamond" w:cs="Garamond"/>
      <w:i/>
      <w:sz w:val="2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tabs>
        <w:tab w:val="clear" w:pos="720"/>
        <w:tab w:val="left" w:pos="2880" w:leader="none"/>
      </w:tabs>
      <w:ind w:hanging="0" w:start="2880" w:end="0"/>
      <w:outlineLvl w:val="4"/>
    </w:pPr>
    <w:rPr>
      <w:i/>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u w:val="none"/>
    </w:rPr>
  </w:style>
  <w:style w:type="character" w:styleId="WW8Num9z0">
    <w:name w:val="WW8Num9z0"/>
    <w:qFormat/>
    <w:rPr>
      <w:rFonts w:ascii="Symbol" w:hAnsi="Symbol" w:cs="Symbol"/>
      <w:sz w:val="20"/>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tabs>
        <w:tab w:val="clear" w:pos="720"/>
        <w:tab w:val="left" w:pos="2160" w:leader="none"/>
      </w:tabs>
    </w:pPr>
    <w:rPr>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2001-05-07T12:49:00Z</dcterms:created>
  <dc:creator>E95634</dc:creator>
  <dc:description/>
  <dc:language>en-CA</dc:language>
  <cp:lastModifiedBy>Valued Gateway Client</cp:lastModifiedBy>
  <cp:lastPrinted>2000-06-16T17:23:00Z</cp:lastPrinted>
  <dcterms:modified xsi:type="dcterms:W3CDTF">2001-05-07T12:49:00Z</dcterms:modified>
  <cp:revision>2</cp:revision>
  <dc:subject/>
  <dc:title>EPIS CONFERENCE DIRECT MAILER</dc:title>
</cp:coreProperties>
</file>