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firstLine="720" w:end="0"/>
        <w:rPr>
          <w:sz w:val="24"/>
        </w:rPr>
      </w:pPr>
      <w:r>
        <w:rPr>
          <w:sz w:val="24"/>
        </w:rPr>
        <w:t xml:space="preserve">All of us have been deeply involved in the accelerating wave of change that has overtaken what we once thought of as the commodities industry.  Some of us have fruitlessly fought to preserve the status quo.  Others have helped their clients push through the boundaries to change the very nature of the industry.  A few have struggled to adapt an overly rigid statute and regulatory structure to facilitate necessary change while preserving the integrity of the industry.  </w:t>
      </w:r>
    </w:p>
    <w:p>
      <w:pPr>
        <w:pStyle w:val="Normal"/>
        <w:spacing w:before="0" w:after="240"/>
        <w:ind w:firstLine="720" w:end="0"/>
        <w:rPr>
          <w:sz w:val="24"/>
        </w:rPr>
      </w:pPr>
      <w:r>
        <w:rPr>
          <w:sz w:val="24"/>
        </w:rPr>
        <w:t xml:space="preserve">Thanks to the Commission’s internal deregulatory efforts, we have a new statute and plenty of scope for creative legal work during the next few years.  Our panel will focus on the implications of the amendments on exchanges and clearinghouses.  I have asked our panelists to quickly get past descriptions of the Act and focus on its structural and competitive impacts.  Perhaps we will learn something about likely changes in the shape of the institutions that now comprise the industry.  I hope someone tells me whether an existing traditional exchange will be able to take advantage of the amendments to lower costs and increase efficiencies.  What is the future for intermediaries?  Will regulated exchanges have a place?  Can CTA’s avoid registration by doing all of their business in excluded commodities?  Of course I want to learn whether old-line exchanges have any chance against new-line entries like OnExchange.  </w:t>
      </w:r>
    </w:p>
    <w:p>
      <w:pPr>
        <w:pStyle w:val="Normal"/>
        <w:spacing w:before="0" w:after="240"/>
        <w:ind w:firstLine="720" w:end="0"/>
        <w:rPr>
          <w:sz w:val="24"/>
        </w:rPr>
      </w:pPr>
      <w:r>
        <w:rPr>
          <w:sz w:val="24"/>
        </w:rPr>
        <w:t>[Introduce Richard Miller]  Richard is the first to actually accomplish something under the revised CEA.  His client OnExchange, which was on its way to being approved as a contract market under the CEA’s NRF, instead was designated under the amended Act.  Perhaps we’ll learn whether there is likely to be a difference.</w:t>
      </w:r>
    </w:p>
    <w:p>
      <w:pPr>
        <w:pStyle w:val="Normal"/>
        <w:spacing w:before="0" w:after="240"/>
        <w:ind w:firstLine="720" w:end="0"/>
        <w:rPr>
          <w:sz w:val="24"/>
        </w:rPr>
      </w:pPr>
      <w:r>
        <w:rPr>
          <w:sz w:val="24"/>
        </w:rPr>
        <w:t>[Introduce John Rainbolt]  John has done a great deal of work in the energy sector.  All of us are familiar with the fight waged by energy lobbyists to get the same exclusions available to the major financial derivative products.  I hope John can tell us why the wanted it, what they got and how they are likely to use it.  I am also very interested in hearing whether a commercials only exchange is a likely home for B2B energy market places that supplement their offerings with derivatives.</w:t>
      </w:r>
    </w:p>
    <w:p>
      <w:pPr>
        <w:pStyle w:val="Normal"/>
        <w:spacing w:before="0" w:after="240"/>
        <w:ind w:firstLine="720" w:end="0"/>
        <w:rPr>
          <w:sz w:val="24"/>
        </w:rPr>
      </w:pPr>
      <w:r>
        <w:rPr>
          <w:sz w:val="24"/>
        </w:rPr>
        <w:t xml:space="preserve">[Introduce Linda Cutler]  CIS still has an interest in the traditional regulated categories.  Linda has wondered, along with some of us old timers, whether the CFMA is going to have an adverse impact on costs or impair liquidity in trading of agricultural commodities.  More generally, I hope Linda may be able to give us some insight into whether the proliferation of exchange categories is going to make the work of FCMs more complicated.  </w:t>
      </w:r>
    </w:p>
    <w:p>
      <w:pPr>
        <w:pStyle w:val="Normal"/>
        <w:spacing w:before="0" w:after="240"/>
        <w:ind w:firstLine="720" w:end="0"/>
        <w:rPr>
          <w:sz w:val="24"/>
        </w:rPr>
      </w:pPr>
      <w:r>
        <w:rPr>
          <w:sz w:val="24"/>
        </w:rPr>
        <w:t>[Introduce Paul Pantano]  Paul has made himself part of the new economy.  He is representing B2B exchanges and has some interesting comments on the interface between these new economy, unregulated enterprises and the clearing and guarantee function provided by traditional clearinghouses.</w:t>
      </w:r>
    </w:p>
    <w:p>
      <w:pPr>
        <w:pStyle w:val="Normal"/>
        <w:spacing w:before="0" w:after="240"/>
        <w:ind w:firstLine="720" w:end="0"/>
        <w:rPr>
          <w:sz w:val="24"/>
        </w:rPr>
      </w:pPr>
      <w:r>
        <w:rPr>
          <w:sz w:val="24"/>
        </w:rPr>
        <w:t>[Introduce Ken Rosenzweig]  I think Ken has some interesting insights into a portion of the statute that received little if any attention.  I have asked him to give us some insight into whether CFTC regulated clearinghouses are going to have a chance in the coming competitive melee for the clearing business of B2B exchanges and OTC derivatives.</w:t>
      </w:r>
    </w:p>
    <w:p>
      <w:pPr>
        <w:pStyle w:val="Normal"/>
        <w:spacing w:before="0" w:after="240"/>
        <w:ind w:firstLine="720" w:end="0"/>
        <w:rPr>
          <w:sz w:val="24"/>
        </w:rPr>
      </w:pPr>
      <w:r>
        <w:rPr>
          <w:sz w:val="24"/>
        </w:rPr>
        <w:t>Finally, I want Allen Siefert to explain why everyone in the OTC sector was so fearful of Commission regulation and whether any of those emerging enterprises that fought for an exclusion from the Act and CFTC regulation will rethink their status and elect to operate under the Commission’s jurisdiction.  The amendments seem to allow electronic exchanges a simple way to escape CFTC jurisdiction</w:t>
        <w:noBreakHyphen/>
        <w:t>are they going to take it?  Unfortunately, I can’t make Alan responsible for either the past or the future and hope only that he can give us some insight into the Commission’s expectations for developments under the CFMA.</w:t>
      </w:r>
    </w:p>
    <w:p>
      <w:pPr>
        <w:pStyle w:val="Normal"/>
        <w:spacing w:before="0" w:after="240"/>
        <w:ind w:firstLine="720" w:end="0"/>
        <w:rPr>
          <w:sz w:val="24"/>
        </w:rPr>
      </w:pPr>
      <w:r>
        <w:rPr>
          <w:sz w:val="24"/>
        </w:rPr>
      </w:r>
    </w:p>
    <w:p>
      <w:pPr>
        <w:pStyle w:val="Normal"/>
        <w:spacing w:before="0" w:after="240"/>
        <w:ind w:firstLine="720" w:end="0"/>
        <w:rPr>
          <w:sz w:val="24"/>
        </w:rPr>
      </w:pPr>
      <w:r>
        <w:rPr>
          <w:sz w:val="24"/>
        </w:rPr>
        <w:t>If we have time, I want to try to get the panel to synthesize their individual presentations by playing the roles of lawyers giving advice to a new enterprise.  I prepared a short business case to focus those comments.[Outline business case.]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2001-01-08T01:02:00Z</dcterms:created>
  <dc:creator>Jerrold E. Salzman</dc:creator>
  <dc:description/>
  <dc:language>en-CA</dc:language>
  <cp:lastModifiedBy>Jerrold E. Salzman</cp:lastModifiedBy>
  <dcterms:modified xsi:type="dcterms:W3CDTF">2001-01-11T14:17:00Z</dcterms:modified>
  <cp:revision>3</cp:revision>
  <dc:subject/>
  <dc:title>All of us have been deeply involved in the accelerating wave of change that has overtaken what we once thought of as the commodities industry</dc:title>
</cp:coreProperties>
</file>