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428" w:type="dxa"/>
        <w:jc w:val="start"/>
        <w:tblInd w:w="0" w:type="dxa"/>
        <w:tblLayout w:type="fixed"/>
        <w:tblCellMar>
          <w:top w:w="0" w:type="dxa"/>
          <w:start w:w="108" w:type="dxa"/>
          <w:bottom w:w="0" w:type="dxa"/>
          <w:end w:w="108" w:type="dxa"/>
        </w:tblCellMar>
      </w:tblPr>
      <w:tblGrid>
        <w:gridCol w:w="5778"/>
        <w:gridCol w:w="4140"/>
        <w:gridCol w:w="1800"/>
        <w:gridCol w:w="1710"/>
      </w:tblGrid>
      <w:tr>
        <w:trPr/>
        <w:tc>
          <w:tcPr>
            <w:tcW w:w="5778" w:type="dxa"/>
            <w:tcBorders>
              <w:top w:val="double" w:sz="6" w:space="0" w:color="000000"/>
              <w:start w:val="double" w:sz="6" w:space="0" w:color="000000"/>
              <w:bottom w:val="single" w:sz="6" w:space="0" w:color="000000"/>
              <w:end w:val="single" w:sz="6" w:space="0" w:color="000000"/>
            </w:tcBorders>
          </w:tcPr>
          <w:p>
            <w:pPr>
              <w:pStyle w:val="Normal"/>
              <w:rPr/>
            </w:pPr>
            <w:r>
              <w:rPr/>
              <w:t>Effectively budget and manage GMS operating costs while continuing to monitor and respond appropriately to changing operating company business needs.</w:t>
            </w:r>
          </w:p>
        </w:tc>
        <w:tc>
          <w:tcPr>
            <w:tcW w:w="4140" w:type="dxa"/>
            <w:tcBorders>
              <w:top w:val="double" w:sz="6" w:space="0" w:color="000000"/>
              <w:start w:val="single" w:sz="6" w:space="0" w:color="000000"/>
              <w:bottom w:val="single" w:sz="6" w:space="0" w:color="000000"/>
              <w:end w:val="single" w:sz="6" w:space="0" w:color="000000"/>
            </w:tcBorders>
          </w:tcPr>
          <w:p>
            <w:pPr>
              <w:pStyle w:val="Normal"/>
              <w:numPr>
                <w:ilvl w:val="0"/>
                <w:numId w:val="9"/>
              </w:numPr>
              <w:rPr/>
            </w:pPr>
            <w:r>
              <w:rPr/>
              <w:t>Monitor monthly to ensure budget targets are being met</w:t>
            </w:r>
          </w:p>
        </w:tc>
        <w:tc>
          <w:tcPr>
            <w:tcW w:w="1800" w:type="dxa"/>
            <w:tcBorders>
              <w:top w:val="double" w:sz="6" w:space="0" w:color="000000"/>
              <w:start w:val="single" w:sz="6" w:space="0" w:color="000000"/>
              <w:bottom w:val="single" w:sz="6" w:space="0" w:color="000000"/>
              <w:end w:val="single" w:sz="6" w:space="0" w:color="000000"/>
            </w:tcBorders>
          </w:tcPr>
          <w:p>
            <w:pPr>
              <w:pStyle w:val="Normal"/>
              <w:rPr/>
            </w:pPr>
            <w:r>
              <w:rPr/>
              <w:t>Continuous</w:t>
            </w:r>
          </w:p>
        </w:tc>
        <w:tc>
          <w:tcPr>
            <w:tcW w:w="1710" w:type="dxa"/>
            <w:tcBorders>
              <w:top w:val="double" w:sz="6" w:space="0" w:color="000000"/>
              <w:start w:val="single" w:sz="6" w:space="0" w:color="000000"/>
              <w:bottom w:val="single" w:sz="6" w:space="0" w:color="000000"/>
              <w:end w:val="double" w:sz="6" w:space="0" w:color="000000"/>
            </w:tcBorders>
          </w:tcPr>
          <w:p>
            <w:pPr>
              <w:pStyle w:val="Normal"/>
              <w:snapToGrid w:val="false"/>
              <w:jc w:val="center"/>
              <w:rPr>
                <w:b/>
                <w:caps/>
              </w:rPr>
            </w:pPr>
            <w:r>
              <w:rPr>
                <w:b/>
                <w:caps/>
              </w:rPr>
            </w:r>
          </w:p>
        </w:tc>
      </w:tr>
      <w:tr>
        <w:trPr/>
        <w:tc>
          <w:tcPr>
            <w:tcW w:w="5778" w:type="dxa"/>
            <w:tcBorders>
              <w:top w:val="single" w:sz="6" w:space="0" w:color="000000"/>
              <w:start w:val="double" w:sz="6" w:space="0" w:color="000000"/>
              <w:bottom w:val="single" w:sz="6" w:space="0" w:color="000000"/>
              <w:end w:val="single" w:sz="6" w:space="0" w:color="000000"/>
            </w:tcBorders>
          </w:tcPr>
          <w:p>
            <w:pPr>
              <w:pStyle w:val="Normal"/>
              <w:rPr/>
            </w:pPr>
            <w:r>
              <w:rPr/>
              <w:t>Provide customer satisfaction through accuracy .</w:t>
            </w:r>
          </w:p>
          <w:p>
            <w:pPr>
              <w:pStyle w:val="Normal"/>
              <w:rPr/>
            </w:pPr>
            <w:r>
              <w:rPr/>
            </w:r>
          </w:p>
          <w:p>
            <w:pPr>
              <w:pStyle w:val="Normal"/>
              <w:rPr/>
            </w:pPr>
            <w:r>
              <w:rPr/>
            </w:r>
          </w:p>
        </w:tc>
        <w:tc>
          <w:tcPr>
            <w:tcW w:w="4140" w:type="dxa"/>
            <w:tcBorders>
              <w:top w:val="single" w:sz="6" w:space="0" w:color="000000"/>
              <w:start w:val="single" w:sz="6" w:space="0" w:color="000000"/>
              <w:bottom w:val="single" w:sz="6" w:space="0" w:color="000000"/>
              <w:end w:val="single" w:sz="6" w:space="0" w:color="000000"/>
            </w:tcBorders>
          </w:tcPr>
          <w:p>
            <w:pPr>
              <w:pStyle w:val="Normal"/>
              <w:numPr>
                <w:ilvl w:val="0"/>
                <w:numId w:val="5"/>
              </w:numPr>
              <w:rPr/>
            </w:pPr>
            <w:r>
              <w:rPr/>
              <w:t>On a month-to-month basis, maintain or improve by .1% the accuracy rates for GMS data to the Operating Companies from the current following levels:</w:t>
            </w:r>
          </w:p>
          <w:p>
            <w:pPr>
              <w:pStyle w:val="Normal"/>
              <w:numPr>
                <w:ilvl w:val="0"/>
                <w:numId w:val="5"/>
              </w:numPr>
              <w:rPr/>
            </w:pPr>
            <w:r>
              <w:rPr/>
              <w:t>99% accuracy – number of stations corrected compared to number of stations processed by GMS</w:t>
            </w:r>
          </w:p>
          <w:p>
            <w:pPr>
              <w:pStyle w:val="Normal"/>
              <w:numPr>
                <w:ilvl w:val="0"/>
                <w:numId w:val="5"/>
              </w:numPr>
              <w:rPr/>
            </w:pPr>
            <w:r>
              <w:rPr/>
              <w:t>98% accuracy – corrected MMBtu compared to total gross MMBtu processed by GMS</w:t>
            </w:r>
          </w:p>
          <w:p>
            <w:pPr>
              <w:pStyle w:val="Normal"/>
              <w:numPr>
                <w:ilvl w:val="0"/>
                <w:numId w:val="5"/>
              </w:numPr>
              <w:rPr/>
            </w:pPr>
            <w:r>
              <w:rPr/>
              <w:t>Ensure the data integrity of information released by the department to a level of no less than 100%</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Monthly checks</w:t>
            </w:r>
          </w:p>
        </w:tc>
        <w:tc>
          <w:tcPr>
            <w:tcW w:w="1710" w:type="dxa"/>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c>
          <w:tcPr>
            <w:tcW w:w="5778" w:type="dxa"/>
            <w:tcBorders>
              <w:top w:val="single" w:sz="6" w:space="0" w:color="000000"/>
              <w:start w:val="double" w:sz="6" w:space="0" w:color="000000"/>
              <w:bottom w:val="single" w:sz="6" w:space="0" w:color="000000"/>
              <w:end w:val="single" w:sz="6" w:space="0" w:color="000000"/>
            </w:tcBorders>
          </w:tcPr>
          <w:p>
            <w:pPr>
              <w:pStyle w:val="Normal"/>
              <w:rPr/>
            </w:pPr>
            <w:r>
              <w:rPr/>
              <w:t>Proactively engage in assisting the individual pipeline groups in the development, implementation, and support of measurement specific strategies and plans.   Continue to sustain those strategies and plans already in place.</w:t>
            </w:r>
          </w:p>
        </w:tc>
        <w:tc>
          <w:tcPr>
            <w:tcW w:w="4140" w:type="dxa"/>
            <w:tcBorders>
              <w:top w:val="single" w:sz="6" w:space="0" w:color="000000"/>
              <w:start w:val="single" w:sz="6" w:space="0" w:color="000000"/>
              <w:bottom w:val="single" w:sz="6" w:space="0" w:color="000000"/>
              <w:end w:val="single" w:sz="6" w:space="0" w:color="000000"/>
            </w:tcBorders>
          </w:tcPr>
          <w:p>
            <w:pPr>
              <w:pStyle w:val="Normal"/>
              <w:numPr>
                <w:ilvl w:val="0"/>
                <w:numId w:val="4"/>
              </w:numPr>
              <w:rPr/>
            </w:pPr>
            <w:r>
              <w:rPr/>
              <w:t>Support Pipeline Operating Group in achieving UAF targets of:  .04% for TW, .25% for NNG and .25% for FGT.</w:t>
            </w:r>
          </w:p>
          <w:p>
            <w:pPr>
              <w:pStyle w:val="Normal"/>
              <w:numPr>
                <w:ilvl w:val="0"/>
                <w:numId w:val="4"/>
              </w:numPr>
              <w:rPr/>
            </w:pPr>
            <w:r>
              <w:rPr/>
              <w:t>Support ongoing and other opportunities within the operating companies.</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Continuous effort</w:t>
            </w:r>
          </w:p>
          <w:p>
            <w:pPr>
              <w:pStyle w:val="Header"/>
              <w:tabs>
                <w:tab w:val="clear" w:pos="4320"/>
                <w:tab w:val="clear" w:pos="8640"/>
              </w:tabs>
              <w:rPr/>
            </w:pPr>
            <w:r>
              <w:rPr/>
              <w:t>Monthly and Quarterly reporting</w:t>
            </w:r>
          </w:p>
          <w:p>
            <w:pPr>
              <w:pStyle w:val="Header"/>
              <w:tabs>
                <w:tab w:val="clear" w:pos="4320"/>
                <w:tab w:val="clear" w:pos="8640"/>
              </w:tabs>
              <w:rPr/>
            </w:pPr>
            <w:r>
              <w:rPr/>
            </w:r>
          </w:p>
        </w:tc>
        <w:tc>
          <w:tcPr>
            <w:tcW w:w="1710" w:type="dxa"/>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c>
          <w:tcPr>
            <w:tcW w:w="5778" w:type="dxa"/>
            <w:tcBorders>
              <w:top w:val="single" w:sz="6" w:space="0" w:color="000000"/>
              <w:start w:val="double" w:sz="6" w:space="0" w:color="000000"/>
              <w:bottom w:val="single" w:sz="6" w:space="0" w:color="000000"/>
              <w:end w:val="single" w:sz="6" w:space="0" w:color="000000"/>
            </w:tcBorders>
          </w:tcPr>
          <w:p>
            <w:pPr>
              <w:pStyle w:val="Normal"/>
              <w:rPr/>
            </w:pPr>
            <w:r>
              <w:rPr/>
              <w:t>Meet all monthly closes based on the dates mutually agreed upon between Operating Companies and GMS</w:t>
            </w:r>
          </w:p>
        </w:tc>
        <w:tc>
          <w:tcPr>
            <w:tcW w:w="4140" w:type="dxa"/>
            <w:tcBorders>
              <w:top w:val="single" w:sz="6" w:space="0" w:color="000000"/>
              <w:start w:val="single" w:sz="6" w:space="0" w:color="000000"/>
              <w:bottom w:val="single" w:sz="6" w:space="0" w:color="000000"/>
              <w:end w:val="single" w:sz="6" w:space="0" w:color="000000"/>
            </w:tcBorders>
          </w:tcPr>
          <w:p>
            <w:pPr>
              <w:pStyle w:val="Normal"/>
              <w:numPr>
                <w:ilvl w:val="0"/>
                <w:numId w:val="10"/>
              </w:numPr>
              <w:rPr/>
            </w:pPr>
            <w:r>
              <w:rPr/>
              <w:t xml:space="preserve">Successfully gather, verify and report company measurement numbers     </w:t>
            </w:r>
          </w:p>
          <w:p>
            <w:pPr>
              <w:pStyle w:val="Header"/>
              <w:tabs>
                <w:tab w:val="clear" w:pos="4320"/>
                <w:tab w:val="clear" w:pos="8640"/>
              </w:tabs>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Monthly</w:t>
            </w:r>
          </w:p>
        </w:tc>
        <w:tc>
          <w:tcPr>
            <w:tcW w:w="1710" w:type="dxa"/>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c>
          <w:tcPr>
            <w:tcW w:w="5778" w:type="dxa"/>
            <w:tcBorders>
              <w:top w:val="single" w:sz="6" w:space="0" w:color="000000"/>
              <w:start w:val="double" w:sz="6" w:space="0" w:color="000000"/>
              <w:bottom w:val="single" w:sz="6" w:space="0" w:color="000000"/>
              <w:end w:val="single" w:sz="6" w:space="0" w:color="000000"/>
            </w:tcBorders>
          </w:tcPr>
          <w:p>
            <w:pPr>
              <w:pStyle w:val="Normal"/>
              <w:rPr/>
            </w:pPr>
            <w:r>
              <w:rPr/>
              <w:t>Identify and implement at least three process improvements to enhance or expedite service (quality or timeliness) to the Operating Companies.  At the same time, seek out these opportunities that can increase value of the service provided by reducing or holding steady GMS charges tot the Operating Companies without sacrificing quality or timeliness</w:t>
            </w:r>
          </w:p>
          <w:p>
            <w:pPr>
              <w:pStyle w:val="Normal"/>
              <w:rPr/>
            </w:pPr>
            <w:r>
              <w:rPr/>
            </w:r>
          </w:p>
        </w:tc>
        <w:tc>
          <w:tcPr>
            <w:tcW w:w="4140" w:type="dxa"/>
            <w:tcBorders>
              <w:top w:val="single" w:sz="6" w:space="0" w:color="000000"/>
              <w:start w:val="single" w:sz="6" w:space="0" w:color="000000"/>
              <w:bottom w:val="single" w:sz="6" w:space="0" w:color="000000"/>
              <w:end w:val="single" w:sz="6" w:space="0" w:color="000000"/>
            </w:tcBorders>
          </w:tcPr>
          <w:p>
            <w:pPr>
              <w:pStyle w:val="Normal"/>
              <w:numPr>
                <w:ilvl w:val="0"/>
                <w:numId w:val="7"/>
              </w:numPr>
              <w:rPr/>
            </w:pPr>
            <w:r>
              <w:rPr/>
              <w:t>Identify opportunities</w:t>
            </w:r>
          </w:p>
          <w:p>
            <w:pPr>
              <w:pStyle w:val="Normal"/>
              <w:numPr>
                <w:ilvl w:val="0"/>
                <w:numId w:val="7"/>
              </w:numPr>
              <w:rPr/>
            </w:pPr>
            <w:r>
              <w:rPr/>
              <w:t>Develop plans</w:t>
            </w:r>
          </w:p>
          <w:p>
            <w:pPr>
              <w:pStyle w:val="Normal"/>
              <w:numPr>
                <w:ilvl w:val="0"/>
                <w:numId w:val="7"/>
              </w:numPr>
              <w:rPr/>
            </w:pPr>
            <w:r>
              <w:rPr/>
              <w:t>Implement processes</w:t>
            </w:r>
          </w:p>
          <w:p>
            <w:pPr>
              <w:pStyle w:val="Header"/>
              <w:tabs>
                <w:tab w:val="clear" w:pos="4320"/>
                <w:tab w:val="clear" w:pos="8640"/>
              </w:tabs>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Continuous</w:t>
            </w:r>
          </w:p>
        </w:tc>
        <w:tc>
          <w:tcPr>
            <w:tcW w:w="1710" w:type="dxa"/>
            <w:tcBorders>
              <w:top w:val="single" w:sz="6" w:space="0" w:color="000000"/>
              <w:start w:val="single" w:sz="6" w:space="0" w:color="000000"/>
              <w:bottom w:val="single" w:sz="6" w:space="0" w:color="000000"/>
              <w:end w:val="double" w:sz="6" w:space="0" w:color="000000"/>
            </w:tcBorders>
          </w:tcPr>
          <w:p>
            <w:pPr>
              <w:pStyle w:val="Header"/>
              <w:tabs>
                <w:tab w:val="clear" w:pos="4320"/>
                <w:tab w:val="clear" w:pos="8640"/>
              </w:tabs>
              <w:snapToGrid w:val="false"/>
              <w:rPr/>
            </w:pPr>
            <w:r>
              <w:rPr/>
            </w:r>
          </w:p>
        </w:tc>
      </w:tr>
      <w:tr>
        <w:trPr/>
        <w:tc>
          <w:tcPr>
            <w:tcW w:w="5778" w:type="dxa"/>
            <w:tcBorders>
              <w:top w:val="single" w:sz="6" w:space="0" w:color="000000"/>
              <w:start w:val="double" w:sz="6" w:space="0" w:color="000000"/>
              <w:bottom w:val="single" w:sz="6" w:space="0" w:color="000000"/>
              <w:end w:val="single" w:sz="6" w:space="0" w:color="000000"/>
            </w:tcBorders>
          </w:tcPr>
          <w:p>
            <w:pPr>
              <w:pStyle w:val="Normal"/>
              <w:rPr/>
            </w:pPr>
            <w:r>
              <w:rPr/>
              <w:t>Foster and strengthen ties with both upstream and downstream customers,</w:t>
            </w:r>
          </w:p>
        </w:tc>
        <w:tc>
          <w:tcPr>
            <w:tcW w:w="4140"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Partnering in opportunities for improvement.</w:t>
            </w:r>
          </w:p>
          <w:p>
            <w:pPr>
              <w:pStyle w:val="Normal"/>
              <w:numPr>
                <w:ilvl w:val="0"/>
                <w:numId w:val="2"/>
              </w:numPr>
              <w:rPr/>
            </w:pPr>
            <w:r>
              <w:rPr/>
              <w:t>Provide support to field operations, throughput management, accounting and business development groups.</w:t>
            </w:r>
          </w:p>
          <w:p>
            <w:pPr>
              <w:pStyle w:val="Normal"/>
              <w:numPr>
                <w:ilvl w:val="0"/>
                <w:numId w:val="2"/>
              </w:numPr>
              <w:rPr/>
            </w:pPr>
            <w:r>
              <w:rPr/>
              <w:t>Continued work on short and long term project teams.</w:t>
            </w:r>
          </w:p>
        </w:tc>
        <w:tc>
          <w:tcPr>
            <w:tcW w:w="1800" w:type="dxa"/>
            <w:tcBorders>
              <w:top w:val="single" w:sz="6" w:space="0" w:color="000000"/>
              <w:start w:val="single" w:sz="6" w:space="0" w:color="000000"/>
              <w:bottom w:val="single" w:sz="6" w:space="0" w:color="000000"/>
              <w:end w:val="single" w:sz="6" w:space="0" w:color="000000"/>
            </w:tcBorders>
          </w:tcPr>
          <w:p>
            <w:pPr>
              <w:pStyle w:val="Normal"/>
              <w:rPr/>
            </w:pPr>
            <w:r>
              <w:rPr/>
              <w:t>Continuous</w:t>
            </w:r>
          </w:p>
        </w:tc>
        <w:tc>
          <w:tcPr>
            <w:tcW w:w="1710" w:type="dxa"/>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c>
          <w:tcPr>
            <w:tcW w:w="5778" w:type="dxa"/>
            <w:tcBorders>
              <w:top w:val="single" w:sz="6" w:space="0" w:color="000000"/>
              <w:start w:val="double" w:sz="6" w:space="0" w:color="000000"/>
              <w:bottom w:val="single" w:sz="6" w:space="0" w:color="000000"/>
              <w:end w:val="single" w:sz="6" w:space="0" w:color="000000"/>
            </w:tcBorders>
          </w:tcPr>
          <w:p>
            <w:pPr>
              <w:pStyle w:val="Header"/>
              <w:tabs>
                <w:tab w:val="clear" w:pos="4320"/>
                <w:tab w:val="clear" w:pos="8640"/>
              </w:tabs>
              <w:snapToGrid w:val="false"/>
              <w:rPr/>
            </w:pPr>
            <w:r>
              <w:rPr/>
            </w:r>
          </w:p>
          <w:p>
            <w:pPr>
              <w:pStyle w:val="Header"/>
              <w:tabs>
                <w:tab w:val="clear" w:pos="4320"/>
                <w:tab w:val="clear" w:pos="8640"/>
              </w:tabs>
              <w:rPr/>
            </w:pPr>
            <w:r>
              <w:rPr/>
              <w:t xml:space="preserve">Continued support in implementation of Measurement Continuous Improvement project recommendations. </w:t>
            </w:r>
          </w:p>
        </w:tc>
        <w:tc>
          <w:tcPr>
            <w:tcW w:w="414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p>
            <w:pPr>
              <w:pStyle w:val="Normal"/>
              <w:numPr>
                <w:ilvl w:val="0"/>
                <w:numId w:val="8"/>
              </w:numPr>
              <w:rPr/>
            </w:pPr>
            <w:r>
              <w:rPr/>
              <w:t>Design and implement a process to administer Skill Assessment exercise for GMS workforce beginning first quart 2002</w:t>
            </w:r>
          </w:p>
          <w:p>
            <w:pPr>
              <w:pStyle w:val="Header"/>
              <w:tabs>
                <w:tab w:val="clear" w:pos="4320"/>
                <w:tab w:val="clear" w:pos="8640"/>
              </w:tabs>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pPr>
            <w:r>
              <w:rPr/>
            </w:r>
          </w:p>
          <w:p>
            <w:pPr>
              <w:pStyle w:val="Header"/>
              <w:numPr>
                <w:ilvl w:val="0"/>
                <w:numId w:val="3"/>
              </w:numPr>
              <w:tabs>
                <w:tab w:val="clear" w:pos="4320"/>
                <w:tab w:val="clear" w:pos="8640"/>
              </w:tabs>
              <w:rPr/>
            </w:pPr>
            <w:r>
              <w:rPr/>
              <w:t>4</w:t>
            </w:r>
            <w:r>
              <w:rPr>
                <w:vertAlign w:val="superscript"/>
              </w:rPr>
              <w:t>th</w:t>
            </w:r>
            <w:r>
              <w:rPr/>
              <w:t xml:space="preserve"> Qtr</w:t>
            </w:r>
          </w:p>
        </w:tc>
        <w:tc>
          <w:tcPr>
            <w:tcW w:w="1710" w:type="dxa"/>
            <w:tcBorders>
              <w:top w:val="single" w:sz="6" w:space="0" w:color="000000"/>
              <w:start w:val="single" w:sz="6" w:space="0" w:color="000000"/>
              <w:bottom w:val="single" w:sz="6" w:space="0" w:color="000000"/>
              <w:end w:val="double" w:sz="6" w:space="0" w:color="000000"/>
            </w:tcBorders>
          </w:tcPr>
          <w:p>
            <w:pPr>
              <w:pStyle w:val="Normal"/>
              <w:snapToGrid w:val="false"/>
              <w:rPr/>
            </w:pPr>
            <w:r>
              <w:rPr/>
            </w:r>
          </w:p>
        </w:tc>
      </w:tr>
      <w:tr>
        <w:trPr/>
        <w:tc>
          <w:tcPr>
            <w:tcW w:w="5778" w:type="dxa"/>
            <w:tcBorders>
              <w:top w:val="single" w:sz="6" w:space="0" w:color="000000"/>
              <w:start w:val="double" w:sz="6" w:space="0" w:color="000000"/>
              <w:bottom w:val="double" w:sz="6" w:space="0" w:color="000000"/>
              <w:end w:val="single" w:sz="6" w:space="0" w:color="000000"/>
            </w:tcBorders>
          </w:tcPr>
          <w:p>
            <w:pPr>
              <w:pStyle w:val="Normal"/>
              <w:rPr/>
            </w:pPr>
            <w:r>
              <w:rPr/>
              <w:t>Support of project work and successful implementation of new (PGAS) measurement system by June 30, 2001</w:t>
            </w:r>
          </w:p>
        </w:tc>
        <w:tc>
          <w:tcPr>
            <w:tcW w:w="4140" w:type="dxa"/>
            <w:tcBorders>
              <w:top w:val="single" w:sz="6" w:space="0" w:color="000000"/>
              <w:start w:val="single" w:sz="6" w:space="0" w:color="000000"/>
              <w:bottom w:val="double" w:sz="6" w:space="0" w:color="000000"/>
              <w:end w:val="single" w:sz="6" w:space="0" w:color="000000"/>
            </w:tcBorders>
          </w:tcPr>
          <w:p>
            <w:pPr>
              <w:pStyle w:val="Normal"/>
              <w:numPr>
                <w:ilvl w:val="0"/>
                <w:numId w:val="6"/>
              </w:numPr>
              <w:rPr/>
            </w:pPr>
            <w:r>
              <w:rPr/>
              <w:t>Support development work</w:t>
            </w:r>
          </w:p>
          <w:p>
            <w:pPr>
              <w:pStyle w:val="Normal"/>
              <w:numPr>
                <w:ilvl w:val="0"/>
                <w:numId w:val="6"/>
              </w:numPr>
              <w:rPr/>
            </w:pPr>
            <w:r>
              <w:rPr/>
              <w:t>Support transitional work</w:t>
            </w:r>
          </w:p>
          <w:p>
            <w:pPr>
              <w:pStyle w:val="Normal"/>
              <w:numPr>
                <w:ilvl w:val="0"/>
                <w:numId w:val="6"/>
              </w:numPr>
              <w:rPr/>
            </w:pPr>
            <w:r>
              <w:rPr/>
              <w:t xml:space="preserve">Support training </w:t>
            </w:r>
          </w:p>
          <w:p>
            <w:pPr>
              <w:pStyle w:val="Normal"/>
              <w:numPr>
                <w:ilvl w:val="0"/>
                <w:numId w:val="6"/>
              </w:numPr>
              <w:rPr/>
            </w:pPr>
            <w:r>
              <w:rPr/>
              <w:t>Support implementation</w:t>
            </w:r>
          </w:p>
          <w:p>
            <w:pPr>
              <w:pStyle w:val="Normal"/>
              <w:rPr/>
            </w:pPr>
            <w:r>
              <w:rPr/>
            </w:r>
          </w:p>
        </w:tc>
        <w:tc>
          <w:tcPr>
            <w:tcW w:w="1800" w:type="dxa"/>
            <w:tcBorders>
              <w:top w:val="single" w:sz="6" w:space="0" w:color="000000"/>
              <w:start w:val="single" w:sz="6" w:space="0" w:color="000000"/>
              <w:bottom w:val="double" w:sz="6" w:space="0" w:color="000000"/>
              <w:end w:val="single" w:sz="6" w:space="0" w:color="000000"/>
            </w:tcBorders>
          </w:tcPr>
          <w:p>
            <w:pPr>
              <w:pStyle w:val="Normal"/>
              <w:rPr/>
            </w:pPr>
            <w:r>
              <w:rPr/>
              <w:t>Ongoing</w:t>
            </w:r>
          </w:p>
          <w:p>
            <w:pPr>
              <w:pStyle w:val="Normal"/>
              <w:rPr/>
            </w:pPr>
            <w:r>
              <w:rPr/>
              <w:t>2</w:t>
            </w:r>
            <w:r>
              <w:rPr>
                <w:vertAlign w:val="superscript"/>
              </w:rPr>
              <w:t>nd</w:t>
            </w:r>
            <w:r>
              <w:rPr/>
              <w:t xml:space="preserve"> Qtr</w:t>
            </w:r>
          </w:p>
        </w:tc>
        <w:tc>
          <w:tcPr>
            <w:tcW w:w="1710" w:type="dxa"/>
            <w:tcBorders>
              <w:top w:val="single" w:sz="6" w:space="0" w:color="000000"/>
              <w:start w:val="single" w:sz="6" w:space="0" w:color="000000"/>
              <w:bottom w:val="double" w:sz="6" w:space="0" w:color="000000"/>
              <w:end w:val="double" w:sz="6" w:space="0" w:color="000000"/>
            </w:tcBorders>
          </w:tcPr>
          <w:p>
            <w:pPr>
              <w:pStyle w:val="Normal"/>
              <w:snapToGrid w:val="false"/>
              <w:rPr/>
            </w:pPr>
            <w:r>
              <w:rPr/>
            </w:r>
          </w:p>
        </w:tc>
      </w:tr>
    </w:tbl>
    <w:p>
      <w:pPr>
        <w:pStyle w:val="Normal"/>
        <w:rPr/>
      </w:pPr>
      <w:r>
        <w:rPr/>
      </w:r>
    </w:p>
    <w:sectPr>
      <w:headerReference w:type="default" r:id="rId2"/>
      <w:footerReference w:type="default" r:id="rId3"/>
      <w:type w:val="nextPage"/>
      <w:pgSz w:orient="landscape" w:w="15840" w:h="12240"/>
      <w:pgMar w:left="1152" w:right="1152" w:gutter="0" w:header="720" w:top="1152" w:footer="576"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GMS 02-14-01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 xml:space="preserve">ENRON TRANSPORTATION SERVICES - </w:t>
    </w:r>
  </w:p>
  <w:p>
    <w:pPr>
      <w:pStyle w:val="Header"/>
      <w:rPr>
        <w:b/>
      </w:rPr>
    </w:pPr>
    <w:r>
      <w:rPr>
        <w:b/>
      </w:rPr>
      <w:t>ACCOUNTING/FINANCE/ADMINISTATION</w:t>
    </w:r>
  </w:p>
  <w:p>
    <w:pPr>
      <w:pStyle w:val="Header"/>
      <w:rPr>
        <w:b/>
      </w:rPr>
    </w:pPr>
    <w:r>
      <w:rPr>
        <w:b/>
      </w:rPr>
      <w:t>GOALS AND OBJECTIVES FOR 2001 Gas Measurement Services (RC 111688)</w:t>
      <w:tab/>
      <w:tab/>
      <w:tab/>
      <w:t xml:space="preserve">            PROJECTED</w:t>
      <w:tab/>
      <w:t xml:space="preserve">   ACTUAL</w:t>
      <w:tab/>
    </w:r>
  </w:p>
  <w:p>
    <w:pPr>
      <w:pStyle w:val="Header"/>
      <w:rPr>
        <w:b/>
      </w:rPr>
    </w:pPr>
    <w:r>
      <w:rPr>
        <w:b/>
      </w:rPr>
      <w:tab/>
      <w:tab/>
      <w:tab/>
      <w:t xml:space="preserve">            COMPLETION      COMPLETION</w:t>
    </w:r>
  </w:p>
  <w:p>
    <w:pPr>
      <w:pStyle w:val="Header"/>
      <w:tabs>
        <w:tab w:val="center" w:pos="4320" w:leader="none"/>
        <w:tab w:val="right" w:pos="8640" w:leader="none"/>
        <w:tab w:val="left" w:pos="9360" w:leader="none"/>
        <w:tab w:val="left" w:pos="10260" w:leader="none"/>
      </w:tabs>
      <w:rPr>
        <w:b/>
      </w:rPr>
    </w:pPr>
    <w:r>
      <w:rPr>
        <w:b/>
      </w:rPr>
      <w:t>GOALS</w:t>
      <w:tab/>
      <w:t xml:space="preserve">                                                                                          MEASUREMENT</w:t>
      <w:tab/>
      <w:tab/>
      <w:t xml:space="preserve">            DATES</w:t>
      <w:tab/>
      <w:tab/>
      <w:t xml:space="preserve">   DATES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ap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cap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2001-02-14T10:36:00Z</dcterms:created>
  <dc:creator>Morris A Brassfield</dc:creator>
  <dc:description/>
  <dc:language>en-CA</dc:language>
  <cp:lastModifiedBy>estern</cp:lastModifiedBy>
  <cp:lastPrinted>2001-02-14T07:12:00Z</cp:lastPrinted>
  <dcterms:modified xsi:type="dcterms:W3CDTF">2001-02-14T10:42:00Z</dcterms:modified>
  <cp:revision>7</cp:revision>
  <dc:subject/>
  <dc:title>OBJECTIVE</dc:title>
</cp:coreProperties>
</file>