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jc w:val="center"/>
        <w:rPr>
          <w:u w:val="single"/>
        </w:rPr>
      </w:pPr>
      <w:r>
        <w:rPr>
          <w:u w:val="single"/>
        </w:rPr>
        <w:t>ENRON GLOBAL LNG---2001 OBJECTIVES</w:t>
      </w:r>
    </w:p>
    <w:p>
      <w:pPr>
        <w:pStyle w:val="Heading1"/>
        <w:ind w:hanging="0" w:start="0"/>
        <w:rPr>
          <w:u w:val="single"/>
        </w:rPr>
      </w:pPr>
      <w:r>
        <w:rPr>
          <w:u w:val="single"/>
        </w:rPr>
      </w:r>
    </w:p>
    <w:p>
      <w:pPr>
        <w:pStyle w:val="Heading1"/>
        <w:ind w:hanging="0" w:start="0"/>
        <w:rPr/>
      </w:pPr>
      <w:r>
        <w:rPr/>
      </w:r>
    </w:p>
    <w:p>
      <w:pPr>
        <w:pStyle w:val="Heading1"/>
        <w:ind w:hanging="0" w:start="0"/>
        <w:rPr/>
      </w:pPr>
      <w:r>
        <w:rPr/>
        <w:t xml:space="preserve">Most Important Area Needing Focus  </w:t>
      </w:r>
    </w:p>
    <w:p>
      <w:pPr>
        <w:pStyle w:val="Heading1"/>
        <w:ind w:hanging="0" w:start="0"/>
        <w:rPr/>
      </w:pPr>
      <w:r>
        <w:rPr/>
      </w:r>
    </w:p>
    <w:p>
      <w:pPr>
        <w:pStyle w:val="Normal"/>
        <w:rPr/>
      </w:pPr>
      <w:r>
        <w:rPr/>
        <w:t>To develop, articulate and begin implementing a more aggressive, more visionary Global LNG strategy that includes Enron control (either via selective asset development or via contracts) of a “critical mass” portfolio of ships, terminals, LNG supplies and market outlets that positions Enron as the industry leader in the LNG merchant business.  (</w:t>
      </w:r>
      <w:r>
        <w:rPr>
          <w:i/>
        </w:rPr>
        <w:t xml:space="preserve">Mike:  we need to talk about this---I think this is absolutely essential if we are to turn LNG into a sustainable $100 million/year business.  We are currently focused on the implementation of a few projects that, although important, aren’t big enough to get us where we want to be 5 years from now.  We need to define a bolder, more visionary strategy and get after it NOW, before others pass us up.) </w:t>
      </w:r>
    </w:p>
    <w:p>
      <w:pPr>
        <w:pStyle w:val="Normal"/>
        <w:rPr>
          <w:i/>
          <w:i/>
        </w:rPr>
      </w:pPr>
      <w:r>
        <w:rPr>
          <w:i/>
        </w:rPr>
      </w:r>
    </w:p>
    <w:p>
      <w:pPr>
        <w:pStyle w:val="Normal"/>
        <w:rPr>
          <w:i/>
          <w:i/>
        </w:rPr>
      </w:pPr>
      <w:r>
        <w:rPr>
          <w:i/>
        </w:rPr>
      </w:r>
    </w:p>
    <w:p>
      <w:pPr>
        <w:pStyle w:val="Heading1"/>
        <w:ind w:hanging="0" w:start="0"/>
        <w:rPr/>
      </w:pPr>
      <w:r>
        <w:rPr/>
        <w:t>Top Three Objectives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Heading1"/>
        <w:numPr>
          <w:ilvl w:val="0"/>
          <w:numId w:val="5"/>
        </w:numPr>
        <w:rPr>
          <w:b w:val="false"/>
          <w:i/>
          <w:i/>
        </w:rPr>
      </w:pPr>
      <w:r>
        <w:rPr>
          <w:b w:val="false"/>
        </w:rPr>
        <w:t xml:space="preserve">Close financing on Jose LNG project/generate significant near-term income via either mark-to-market or other monetization mechanisms. </w:t>
      </w:r>
      <w:r>
        <w:rPr>
          <w:b w:val="false"/>
          <w:i/>
        </w:rPr>
        <w:t>(Value:  +/- $50 million)</w:t>
      </w:r>
    </w:p>
    <w:p>
      <w:pPr>
        <w:pStyle w:val="Heading1"/>
        <w:ind w:hanging="0" w:start="0"/>
        <w:rPr>
          <w:b w:val="false"/>
          <w:i/>
          <w:i/>
        </w:rPr>
      </w:pPr>
      <w:r>
        <w:rPr>
          <w:b w:val="false"/>
          <w:i/>
        </w:rPr>
      </w:r>
    </w:p>
    <w:p>
      <w:pPr>
        <w:pStyle w:val="Heading1"/>
        <w:numPr>
          <w:ilvl w:val="0"/>
          <w:numId w:val="5"/>
        </w:numPr>
        <w:rPr>
          <w:b w:val="false"/>
          <w:i/>
          <w:i/>
        </w:rPr>
      </w:pPr>
      <w:r>
        <w:rPr>
          <w:b w:val="false"/>
        </w:rPr>
        <w:t>Work out Dabhol LNG supply and shipping problems (created by MSEB’s inability to take all of its Phase II commitments)</w:t>
      </w:r>
      <w:r>
        <w:rPr/>
        <w:t xml:space="preserve"> </w:t>
      </w:r>
      <w:r>
        <w:rPr>
          <w:b w:val="false"/>
        </w:rPr>
        <w:t xml:space="preserve">in a manner that protects Enron, enhances relationships with Oman and Abu Dhabi, and optimizes the value of surplus Dabhol LNG supplies in the Enron system.  </w:t>
      </w:r>
      <w:r>
        <w:rPr>
          <w:b w:val="false"/>
          <w:i/>
        </w:rPr>
        <w:t>(Value:  preservation of Enron equity in Dabhol plus $5 million/year [10 cents/mmbtu] in margins for redirecting 1 mmt/yr of DPC LNG to other markets)</w:t>
      </w:r>
    </w:p>
    <w:p>
      <w:pPr>
        <w:pStyle w:val="Normal"/>
        <w:rPr>
          <w:b/>
          <w:i/>
          <w:i/>
        </w:rPr>
      </w:pPr>
      <w:r>
        <w:rPr>
          <w:b/>
          <w:i/>
        </w:rPr>
      </w:r>
    </w:p>
    <w:p>
      <w:pPr>
        <w:pStyle w:val="Normal"/>
        <w:numPr>
          <w:ilvl w:val="0"/>
          <w:numId w:val="5"/>
        </w:numPr>
        <w:rPr/>
      </w:pPr>
      <w:r>
        <w:rPr/>
        <w:t>Position Enron to be a leading player in LNG e-commerce through the development of a LNG trading hub with Petronas affiliates and by extending the scope of Enron online to include LNG.  (</w:t>
      </w:r>
      <w:r>
        <w:rPr>
          <w:i/>
        </w:rPr>
        <w:t>Value:  unquantified)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Other Specific LNG Tasks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4"/>
        </w:numPr>
        <w:rPr/>
      </w:pPr>
      <w:r>
        <w:rPr/>
        <w:t xml:space="preserve">Obtain LNG supplies to cover the front-end short gas position at Enron’s Arcos Project in Spain.  </w:t>
      </w:r>
      <w:r>
        <w:rPr>
          <w:i/>
        </w:rPr>
        <w:t>(Value:  preservation of $120 million Arcos NPV)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4"/>
        </w:numPr>
        <w:rPr/>
      </w:pPr>
      <w:r>
        <w:rPr/>
        <w:t xml:space="preserve">Ensure that the three Enron-controlled LNG carriers (Lakshmi, Hoegh Galleon and Excalibur) are built to contract specifications and delivered on time; optimize the utilization of all three ships, taking into account both Enron’s internal needs for LNG supplies and profitable third-party merchant opportunities. </w:t>
      </w:r>
      <w:r>
        <w:rPr>
          <w:i/>
        </w:rPr>
        <w:t>(Value:  $25 million/year)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4"/>
        </w:numPr>
        <w:rPr/>
      </w:pPr>
      <w:r>
        <w:rPr/>
        <w:t xml:space="preserve">Define our shipping needs and coverage strategy for the next five years, and execute charter agreements to cover our shortfall.  </w:t>
      </w:r>
      <w:r>
        <w:rPr>
          <w:i/>
        </w:rPr>
        <w:t>(Value:  unquantified)</w:t>
      </w:r>
      <w:r>
        <w:br w:type="page"/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4"/>
        </w:numPr>
        <w:rPr/>
      </w:pPr>
      <w:r>
        <w:rPr/>
        <w:t xml:space="preserve">Obtain Enron-controlled access to additional LNG terminals in both the Atlantic and Pacific basins, either through strategic asset development or through contract negotiations, focusing on the following targets  </w:t>
      </w:r>
      <w:r>
        <w:rPr>
          <w:i/>
        </w:rPr>
        <w:t>(Value: unquantified)</w:t>
      </w:r>
      <w:r>
        <w:rPr/>
        <w:t>:</w:t>
      </w:r>
    </w:p>
    <w:p>
      <w:pPr>
        <w:pStyle w:val="Normal"/>
        <w:rPr/>
      </w:pPr>
      <w:r>
        <w:rPr/>
      </w:r>
    </w:p>
    <w:p>
      <w:pPr>
        <w:pStyle w:val="Normal"/>
        <w:ind w:start="720" w:end="0"/>
        <w:rPr/>
      </w:pPr>
      <w:r>
        <w:rPr/>
        <w:t>-Japan (either via Osaka Gas or via new terminal)</w:t>
      </w:r>
    </w:p>
    <w:p>
      <w:pPr>
        <w:pStyle w:val="Normal"/>
        <w:ind w:start="720" w:end="0"/>
        <w:rPr/>
      </w:pPr>
      <w:r>
        <w:rPr/>
        <w:t>-Elba Island (with no heating value restrictions)</w:t>
      </w:r>
    </w:p>
    <w:p>
      <w:pPr>
        <w:pStyle w:val="Normal"/>
        <w:ind w:start="720" w:end="0"/>
        <w:rPr/>
      </w:pPr>
      <w:r>
        <w:rPr/>
        <w:t xml:space="preserve">-Bahamas/Florida </w:t>
      </w:r>
    </w:p>
    <w:p>
      <w:pPr>
        <w:pStyle w:val="Normal"/>
        <w:ind w:start="720" w:end="0"/>
        <w:rPr/>
      </w:pPr>
      <w:r>
        <w:rPr/>
        <w:t>-Eco Electrica expansion</w:t>
      </w:r>
    </w:p>
    <w:p>
      <w:pPr>
        <w:pStyle w:val="Normal"/>
        <w:ind w:start="720" w:end="0"/>
        <w:rPr/>
      </w:pPr>
      <w:r>
        <w:rPr/>
        <w:t>-Dominican Republic</w:t>
      </w:r>
    </w:p>
    <w:p>
      <w:pPr>
        <w:pStyle w:val="Normal"/>
        <w:ind w:start="720" w:end="0"/>
        <w:rPr/>
      </w:pPr>
      <w:r>
        <w:rPr/>
      </w:r>
    </w:p>
    <w:p>
      <w:pPr>
        <w:pStyle w:val="Normal"/>
        <w:numPr>
          <w:ilvl w:val="0"/>
          <w:numId w:val="4"/>
        </w:numPr>
        <w:rPr/>
      </w:pPr>
      <w:r>
        <w:rPr/>
        <w:t xml:space="preserve">Execute Master Spot/Term Agreements with a portfolio of suppliers that balance/cover our shipping and terminalling positions while at the same time provide maximum optionality to Enron.  </w:t>
      </w:r>
      <w:r>
        <w:rPr>
          <w:i/>
        </w:rPr>
        <w:t>(Value:  $20 million/year)</w:t>
      </w:r>
      <w:r>
        <w:br w:type="page"/>
      </w:r>
    </w:p>
    <w:p>
      <w:pPr>
        <w:pStyle w:val="Normal"/>
        <w:rPr/>
      </w:pPr>
      <w:r>
        <w:rPr/>
      </w:r>
    </w:p>
    <w:p>
      <w:pPr>
        <w:pStyle w:val="Normal"/>
        <w:ind w:start="720" w:end="0"/>
        <w:rPr/>
      </w:pPr>
      <w:r>
        <w:rPr/>
      </w:r>
    </w:p>
    <w:p>
      <w:pPr>
        <w:pStyle w:val="Heading2"/>
        <w:ind w:hanging="0" w:start="0"/>
        <w:rPr/>
      </w:pPr>
      <w:r>
        <w:rPr/>
        <w:t>ENRON MIDDLE EAST---2001 OBJECTIVES</w:t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</w:rPr>
      </w:pPr>
      <w:r>
        <w:rPr>
          <w:b/>
        </w:rPr>
        <w:t>Top Three Objectives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numPr>
          <w:ilvl w:val="0"/>
          <w:numId w:val="2"/>
        </w:numPr>
        <w:rPr/>
      </w:pPr>
      <w:r>
        <w:rPr/>
        <w:t>Project Dolphin: execute binding Upstream and Downstream gas supply/gas marketing agreements and bring forward/monetize Enron’s share of Dolphin’s value.  (</w:t>
      </w:r>
      <w:r>
        <w:rPr>
          <w:i/>
        </w:rPr>
        <w:t>Value:  $150 million or more from upstream selldown plus growth potential from prompt expansion of marketed volumes)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"/>
        </w:numPr>
        <w:rPr/>
      </w:pPr>
      <w:r>
        <w:rPr/>
        <w:t xml:space="preserve">Originate at least two new commodity transactions.  Immediate targets  </w:t>
      </w:r>
      <w:r>
        <w:rPr>
          <w:i/>
        </w:rPr>
        <w:t>(Value:  unquantified)</w:t>
      </w:r>
      <w:r>
        <w:rPr/>
        <w:t>:</w:t>
      </w:r>
    </w:p>
    <w:p>
      <w:pPr>
        <w:pStyle w:val="Normal"/>
        <w:rPr/>
      </w:pPr>
      <w:r>
        <w:rPr/>
      </w:r>
    </w:p>
    <w:p>
      <w:pPr>
        <w:pStyle w:val="Normal"/>
        <w:ind w:start="720" w:end="0"/>
        <w:rPr/>
      </w:pPr>
      <w:r>
        <w:rPr/>
        <w:t>-Saudi/Xenel polypropylene and/or solvent offtake agreements</w:t>
      </w:r>
    </w:p>
    <w:p>
      <w:pPr>
        <w:pStyle w:val="Normal"/>
        <w:ind w:start="720" w:end="0"/>
        <w:rPr/>
      </w:pPr>
      <w:r>
        <w:rPr/>
        <w:t>-Syria/Turkey power marketing</w:t>
      </w:r>
    </w:p>
    <w:p>
      <w:pPr>
        <w:pStyle w:val="Normal"/>
        <w:ind w:start="720" w:end="0"/>
        <w:rPr/>
      </w:pPr>
      <w:r>
        <w:rPr/>
      </w:r>
    </w:p>
    <w:p>
      <w:pPr>
        <w:pStyle w:val="Normal"/>
        <w:numPr>
          <w:ilvl w:val="0"/>
          <w:numId w:val="2"/>
        </w:numPr>
        <w:rPr/>
      </w:pPr>
      <w:r>
        <w:rPr/>
        <w:t xml:space="preserve">Enhance our presence and relationships in Oman by closing and selling down Enron’s Oman Gas marketing project.  </w:t>
      </w:r>
      <w:r>
        <w:rPr>
          <w:i/>
        </w:rPr>
        <w:t>(Value:  $2 million in 2001, with growth potential thereafter)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Other Specific Middle East Tasks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3"/>
        </w:numPr>
        <w:rPr/>
      </w:pPr>
      <w:r>
        <w:rPr/>
        <w:t xml:space="preserve">Sort out Gaza problems and sell Enron’s interest at breakeven or better.  </w:t>
      </w:r>
      <w:r>
        <w:rPr>
          <w:i/>
        </w:rPr>
        <w:t>(Value:  up to $10 million, plus freeing up of key personnel for higher value uses)</w:t>
      </w:r>
      <w:r>
        <w:rPr/>
        <w:t xml:space="preserve">  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3"/>
        </w:numPr>
        <w:rPr/>
      </w:pPr>
      <w:r>
        <w:rPr/>
        <w:t xml:space="preserve">Continue to manage EGM’s Dugas MTBE and feedstock contracts  </w:t>
      </w:r>
      <w:r>
        <w:rPr>
          <w:i/>
        </w:rPr>
        <w:t>(Value:  &gt;$2.5 million/year)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3"/>
        </w:numPr>
        <w:rPr/>
      </w:pPr>
      <w:r>
        <w:rPr/>
        <w:t xml:space="preserve">Define a new infrastructure development business model that combines another party’s equity funds with Enron fee-based structuring/financing/operating services;  using this model, close on one new development project that provides either regional or global network value to Enron.  Possible targets </w:t>
      </w:r>
      <w:r>
        <w:rPr>
          <w:i/>
        </w:rPr>
        <w:t>(Value:  $20 million)</w:t>
      </w:r>
      <w:r>
        <w:rPr/>
        <w:t>:</w:t>
      </w:r>
    </w:p>
    <w:p>
      <w:pPr>
        <w:pStyle w:val="Normal"/>
        <w:rPr/>
      </w:pPr>
      <w:r>
        <w:rPr/>
      </w:r>
    </w:p>
    <w:p>
      <w:pPr>
        <w:pStyle w:val="Normal"/>
        <w:ind w:start="720" w:end="0"/>
        <w:rPr/>
      </w:pPr>
      <w:r>
        <w:rPr/>
        <w:t>-Egypt/Jordan gas marketing venture with supply/demand network and growth oportunities</w:t>
      </w:r>
    </w:p>
    <w:p>
      <w:pPr>
        <w:pStyle w:val="Normal"/>
        <w:ind w:start="720" w:end="0"/>
        <w:rPr/>
      </w:pPr>
      <w:r>
        <w:rPr/>
        <w:t>-UOG-sponsored Fujairah IPP/water plant tied to Dolphin supplies</w:t>
      </w:r>
    </w:p>
    <w:p>
      <w:pPr>
        <w:pStyle w:val="Normal"/>
        <w:ind w:start="720" w:end="0"/>
        <w:rPr/>
      </w:pPr>
      <w:r>
        <w:rPr/>
        <w:t>-Oxy/Enron Saudi Gas Initiative with spinoffs of other Enron opportunities in Saudi Arabia</w:t>
      </w:r>
    </w:p>
    <w:p>
      <w:pPr>
        <w:pStyle w:val="Normal"/>
        <w:ind w:start="720" w:end="0"/>
        <w:rPr/>
      </w:pPr>
      <w:r>
        <w:rPr/>
        <w:t xml:space="preserve">-TABREED district cooling plant in Oman, fueled via Enron’s Oman gas marketing company </w:t>
      </w:r>
      <w:r>
        <w:br w:type="page"/>
      </w:r>
    </w:p>
    <w:p>
      <w:pPr>
        <w:pStyle w:val="Normal"/>
        <w:numPr>
          <w:ilvl w:val="0"/>
          <w:numId w:val="3"/>
        </w:numPr>
        <w:rPr/>
      </w:pPr>
      <w:r>
        <w:rPr/>
        <w:t xml:space="preserve">Originate a viable business opportunity in Saudi Arabia for a non-EGM Enron business unit. Key targets </w:t>
      </w:r>
      <w:r>
        <w:rPr>
          <w:i/>
        </w:rPr>
        <w:t>(Value:  unquantified)</w:t>
      </w:r>
      <w:r>
        <w:rPr/>
        <w:t>:</w:t>
      </w:r>
    </w:p>
    <w:p>
      <w:pPr>
        <w:pStyle w:val="Normal"/>
        <w:rPr/>
      </w:pPr>
      <w:r>
        <w:rPr/>
      </w:r>
    </w:p>
    <w:p>
      <w:pPr>
        <w:pStyle w:val="BodyTextIndent"/>
        <w:rPr/>
      </w:pPr>
      <w:r>
        <w:rPr/>
        <w:t>-EES audit/elimination of liquids fuel inefficiencies along West Coast of Saudi Arabia (proposed to Enron by Aramco)</w:t>
      </w:r>
    </w:p>
    <w:p>
      <w:pPr>
        <w:pStyle w:val="Normal"/>
        <w:ind w:start="720" w:end="0"/>
        <w:rPr/>
      </w:pPr>
      <w:r>
        <w:rPr/>
        <w:t>-Convince Saudi Aramco or SABIC to subscribe to Enron Online</w:t>
      </w:r>
    </w:p>
    <w:p>
      <w:pPr>
        <w:pStyle w:val="Normal"/>
        <w:ind w:start="720" w:end="0"/>
        <w:rPr/>
      </w:pPr>
      <w:r>
        <w:rPr/>
      </w:r>
    </w:p>
    <w:p>
      <w:pPr>
        <w:pStyle w:val="Normal"/>
        <w:numPr>
          <w:ilvl w:val="0"/>
          <w:numId w:val="3"/>
        </w:numPr>
        <w:rPr/>
      </w:pPr>
      <w:r>
        <w:rPr/>
        <w:t xml:space="preserve">Assist EBS in identifying and capitalizing on the opportunity to participate in the rapidly developing Internet and media hub business opportunities in Dubai.  </w:t>
      </w:r>
      <w:r>
        <w:rPr>
          <w:i/>
        </w:rPr>
        <w:t>(Value:  unquantified)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5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u w:val="single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">
    <w:name w:val="Body Text Indent"/>
    <w:basedOn w:val="Normal"/>
    <w:pPr>
      <w:ind w:hanging="0" w:start="720" w:end="0"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2001-02-04T10:30:00Z</dcterms:created>
  <dc:creator>Rick Bergseiker</dc:creator>
  <dc:description/>
  <dc:language>en-CA</dc:language>
  <cp:lastModifiedBy>Rick Bergseiker</cp:lastModifiedBy>
  <cp:lastPrinted>2001-02-05T04:47:00Z</cp:lastPrinted>
  <dcterms:modified xsi:type="dcterms:W3CDTF">2001-02-05T09:20:00Z</dcterms:modified>
  <cp:revision>11</cp:revision>
  <dc:subject/>
  <dc:title>2001 OBJECTIVES</dc:title>
</cp:coreProperties>
</file>