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hapterTitle"/>
        <w:spacing w:before="0" w:after="240"/>
        <w:rPr>
          <w:caps w:val="false"/>
          <w:smallCaps w:val="false"/>
          <w:lang w:val="en-CA"/>
        </w:rPr>
      </w:pPr>
      <w:r>
        <w:rPr>
          <w:lang w:val="en-CA"/>
        </w:rPr>
        <w:t>Chapter 14</w:t>
      </w:r>
    </w:p>
    <w:p>
      <w:pPr>
        <w:sectPr>
          <w:type w:val="nextPage"/>
          <w:pgSz w:w="12240" w:h="15840"/>
          <w:pgMar w:left="1440" w:right="1440" w:gutter="0" w:header="0" w:top="1440" w:footer="0" w:bottom="1080"/>
          <w:pgNumType w:start="643" w:fmt="decimal"/>
          <w:formProt w:val="false"/>
          <w:textDirection w:val="lrTb"/>
          <w:docGrid w:type="default" w:linePitch="360" w:charSpace="0"/>
        </w:sectPr>
      </w:pPr>
    </w:p>
    <w:p>
      <w:pPr>
        <w:pStyle w:val="ChapterTitle"/>
        <w:spacing w:before="0" w:after="240"/>
        <w:rPr>
          <w:caps w:val="false"/>
          <w:smallCaps w:val="false"/>
          <w:lang w:val="en-CA"/>
        </w:rPr>
      </w:pPr>
      <w:r>
        <w:rPr>
          <w:caps w:val="false"/>
          <w:smallCaps w:val="false"/>
          <w:lang w:val="en-CA"/>
        </w:rPr>
      </w:r>
    </w:p>
    <w:p>
      <w:pPr>
        <w:pStyle w:val="Heading1"/>
        <w:widowControl/>
        <w:spacing w:before="0" w:after="1640"/>
        <w:ind w:hanging="0" w:start="0"/>
        <w:rPr>
          <w:caps w:val="false"/>
          <w:smallCaps w:val="false"/>
          <w:lang w:val="en-CA"/>
        </w:rPr>
      </w:pPr>
      <w:r>
        <w:rPr>
          <w:lang w:val="en-CA"/>
        </w:rPr>
        <w:t>Military Leave &amp;</w:t>
        <w:br/>
        <w:t>Civic Duty Leave</w:t>
      </w:r>
    </w:p>
    <w:p>
      <w:pPr>
        <w:pStyle w:val="heading2TopOfChapter"/>
        <w:widowControl/>
        <w:spacing w:before="0" w:after="240"/>
        <w:rPr>
          <w:b w:val="false"/>
          <w:caps w:val="false"/>
          <w:smallCaps w:val="false"/>
          <w:lang w:val="en-CA"/>
        </w:rPr>
      </w:pPr>
      <w:r>
        <w:rPr>
          <w:lang w:val="en-CA"/>
        </w:rPr>
        <w:t>A.  Introduction</w:t>
      </w:r>
    </w:p>
    <w:p>
      <w:pPr>
        <w:pStyle w:val="Heading2BodyTextwSectionNumber"/>
        <w:widowControl/>
        <w:spacing w:before="0" w:after="240"/>
        <w:rPr>
          <w:b w:val="false"/>
          <w:caps w:val="false"/>
          <w:smallCaps w:val="false"/>
          <w:lang w:val="en-CA"/>
        </w:rPr>
      </w:pPr>
      <w:r>
        <w:rPr>
          <w:lang w:val="en-CA"/>
        </w:rPr>
        <w:t xml:space="preserve">§ 650  </w:t>
      </w:r>
    </w:p>
    <w:p>
      <w:pPr>
        <w:pStyle w:val="BodyText"/>
        <w:widowControl/>
        <w:spacing w:before="0" w:after="240"/>
        <w:rPr/>
      </w:pPr>
      <w:r>
        <w:rPr>
          <w:lang w:val="en-CA"/>
        </w:rPr>
        <w:t xml:space="preserve">An employer’s obligation to provide leaves of absence under the Family and Medical Leave Act and the Americans with Disabilities Act has garnered much attention in recent years.  Often overlooked, however, is an employer’s obligation to provide leave to accommodate an employee’s military service as well as an employee’s civic service (jury duty and witness duty).  This chapter summarizes employer obligations and employee rights to take leave for these reasons under </w:t>
      </w:r>
      <w:r>
        <w:rPr>
          <w:i/>
          <w:lang w:val="en-CA"/>
        </w:rPr>
        <w:t>federal</w:t>
      </w:r>
      <w:r>
        <w:rPr>
          <w:lang w:val="en-CA"/>
        </w:rPr>
        <w:t xml:space="preserve"> law.  Please note that some states provide even greater employee protections and benefits for these types of leave.  For example, New York requires that employers with more than ten employees pay an employee serving as a juror forty dollars per day for the first three days of jury service.  </w:t>
      </w:r>
      <w:r>
        <w:rPr>
          <w:i/>
          <w:lang w:val="en-CA"/>
        </w:rPr>
        <w:t>See</w:t>
      </w:r>
      <w:r>
        <w:rPr>
          <w:lang w:val="en-CA"/>
        </w:rPr>
        <w:t xml:space="preserve"> N.Y. Jud. Law § 519.  Accordingly, employers are advised to consult legal counsel to determine whether any additional state laws apply.</w:t>
      </w:r>
    </w:p>
    <w:p>
      <w:pPr>
        <w:pStyle w:val="Heading2"/>
        <w:ind w:hanging="0" w:start="0"/>
        <w:rPr>
          <w:b w:val="false"/>
          <w:caps w:val="false"/>
          <w:smallCaps w:val="false"/>
        </w:rPr>
      </w:pPr>
      <w:r>
        <w:rPr/>
        <w:t>B.  Military Leave</w:t>
      </w:r>
    </w:p>
    <w:p>
      <w:pPr>
        <w:pStyle w:val="Heading2BodyTextwSectionNumber"/>
        <w:widowControl/>
        <w:spacing w:before="0" w:after="240"/>
        <w:rPr>
          <w:b w:val="false"/>
          <w:caps w:val="false"/>
          <w:smallCaps w:val="false"/>
          <w:lang w:val="en-CA"/>
        </w:rPr>
      </w:pPr>
      <w:r>
        <w:rPr>
          <w:lang w:val="en-CA"/>
        </w:rPr>
        <w:t xml:space="preserve">§ 651  </w:t>
      </w:r>
    </w:p>
    <w:p>
      <w:pPr>
        <w:pStyle w:val="BodyText"/>
        <w:widowControl/>
        <w:spacing w:before="0" w:after="240"/>
        <w:rPr/>
      </w:pPr>
      <w:r>
        <w:rPr>
          <w:lang w:val="en-CA"/>
        </w:rPr>
        <w:t xml:space="preserve">The Uniformed Services Employment and Reemployment Rights Act (USERRA or the Act), 38 U.S.C. § 4301 </w:t>
      </w:r>
      <w:r>
        <w:rPr>
          <w:i/>
          <w:lang w:val="en-CA"/>
        </w:rPr>
        <w:t>et seq.</w:t>
      </w:r>
      <w:r>
        <w:rPr>
          <w:lang w:val="en-CA"/>
        </w:rPr>
        <w:t>, has been in effect since 1994.  USERRA replaced the Veterans Reemployment Rights Act, clarified an employee’s military leave rights, and expanded an employee’s reinstatement rights.</w:t>
      </w:r>
    </w:p>
    <w:p>
      <w:pPr>
        <w:pStyle w:val="BodyText"/>
        <w:widowControl/>
        <w:spacing w:before="0" w:after="240"/>
        <w:rPr>
          <w:lang w:val="en-CA"/>
        </w:rPr>
      </w:pPr>
      <w:r>
        <w:rPr>
          <w:lang w:val="en-CA"/>
        </w:rPr>
        <w:t>In general, USERRA imposes affirmative obligations on public and private employers to provide employees with leave to serve in the military.  USERRA also requires employers to reinstate employees returning from military leave and to train or otherwise qualify returning employees.  The Act guarantees employees a continuation (at the employee’s expense) of health benefits for the first eighteen months of military leave and protects an employee’s pension benefits upon return from leave.  Finally, the Act requires that employers not discriminate against an employee because of past, present, or future military obligations.</w:t>
      </w:r>
    </w:p>
    <w:p>
      <w:pPr>
        <w:pStyle w:val="BodyText"/>
        <w:widowControl/>
        <w:spacing w:before="0" w:after="240"/>
        <w:rPr>
          <w:lang w:val="en-CA"/>
        </w:rPr>
      </w:pPr>
      <w:r>
        <w:rPr>
          <w:lang w:val="en-CA"/>
        </w:rPr>
        <w:t>This chapter summarizes an employer’s principal obligations under USERRA.  In addition, employers should be aware that almost all states impose additional obligations on employers with respect to military leaves.  USERRA effectively establishes a “floor” for the protection of employees’ rights; states can implement greater protections.  The following states have military leave provisions applicable to private employers: Alabama, Alaska, Arizona, Arkansas, California, Colorado, Connecticut, Delaware, District of Columbia, Florida, Georgia, Hawaii, Idaho, Illinois, Indiana, Iowa, Kansas, Kentucky, Louisiana, Maine, Maryland, Massachusetts, Michigan, Minnesota, Mississippi, Missouri, Montana, Nebraska, Nevada, New Hampshire, New Jersey, New York, North Carolina, North Dakota, Ohio, Oklahoma, Oregon, Pennsylvania, Puerto Rico, Rhode Island, South Carolina, South Dakota, Tennessee, Texas, Utah, Vermont, Washington, West Virginia, Wisconsin, and Wyoming.</w:t>
      </w:r>
    </w:p>
    <w:p>
      <w:pPr>
        <w:pStyle w:val="Heading3"/>
        <w:ind w:hanging="0" w:start="0"/>
        <w:rPr>
          <w:b w:val="false"/>
        </w:rPr>
      </w:pPr>
      <w:r>
        <w:rPr/>
        <w:t>§ 652  Employers Obligated to Provide Leave</w:t>
      </w:r>
    </w:p>
    <w:p>
      <w:pPr>
        <w:pStyle w:val="BodyText"/>
        <w:widowControl/>
        <w:spacing w:before="0" w:after="240"/>
        <w:rPr/>
      </w:pPr>
      <w:r>
        <w:rPr>
          <w:lang w:val="en-CA"/>
        </w:rPr>
        <w:t xml:space="preserve">Under USERRA, all public and private sector employers are required to provide leaves of absence to employees who need to satisfy their military obligations.  </w:t>
      </w:r>
      <w:r>
        <w:rPr>
          <w:i/>
          <w:lang w:val="en-CA"/>
        </w:rPr>
        <w:t>See</w:t>
      </w:r>
      <w:r>
        <w:rPr>
          <w:lang w:val="en-CA"/>
        </w:rPr>
        <w:t xml:space="preserve"> 38 U.S.C. § 4301 </w:t>
      </w:r>
      <w:r>
        <w:rPr>
          <w:i/>
          <w:lang w:val="en-CA"/>
        </w:rPr>
        <w:t>et seq.</w:t>
      </w:r>
      <w:r>
        <w:rPr>
          <w:lang w:val="en-CA"/>
        </w:rPr>
        <w:t xml:space="preserve">  Unlike many other federal statutes that require an employer to have a minimum number of employees to be covered under the law, USERRA contains no minimum employee requirement. A successor employer may also be required to fulfill the reinstatement obligations of a previous enterprise.  38 U.S.C. § 4303(4)(A)(iv).  In determining when a successor employer inherits an obligation to reinstate a veteran under the former statute, the courts consider whether there has been a “substantial continuity” of business operations between the prior and current enterprises; whether the current employer uses the same facilities, supervisors, workforce, and equipment as the predecessor; and whether the current business produces the same product or services.  </w:t>
      </w:r>
      <w:r>
        <w:rPr>
          <w:i/>
          <w:lang w:val="en-CA"/>
        </w:rPr>
        <w:t>See</w:t>
      </w:r>
      <w:r>
        <w:rPr>
          <w:lang w:val="en-CA"/>
        </w:rPr>
        <w:t xml:space="preserve">, </w:t>
      </w:r>
      <w:r>
        <w:rPr>
          <w:i/>
          <w:lang w:val="en-CA"/>
        </w:rPr>
        <w:t>e.g.</w:t>
      </w:r>
      <w:r>
        <w:rPr>
          <w:lang w:val="en-CA"/>
        </w:rPr>
        <w:t xml:space="preserve">, </w:t>
      </w:r>
      <w:r>
        <w:rPr>
          <w:i/>
          <w:lang w:val="en-CA"/>
        </w:rPr>
        <w:t>Bottger v. Doss Aeronautical Serv., Inc.</w:t>
      </w:r>
      <w:r>
        <w:rPr>
          <w:lang w:val="en-CA"/>
        </w:rPr>
        <w:t xml:space="preserve">, 609 F. Supp. 583 (M.D. Ala. 1985); </w:t>
      </w:r>
      <w:r>
        <w:rPr>
          <w:i/>
          <w:lang w:val="en-CA"/>
        </w:rPr>
        <w:t>Anthony v. Basic Am. Foods, Inc.</w:t>
      </w:r>
      <w:r>
        <w:rPr>
          <w:lang w:val="en-CA"/>
        </w:rPr>
        <w:t xml:space="preserve">, 600 F. Supp. 352 (N.D. Cal. 1984); </w:t>
      </w:r>
      <w:r>
        <w:rPr>
          <w:i/>
          <w:lang w:val="en-CA"/>
        </w:rPr>
        <w:t>Chaltry v. Ollie’s Idea, Inc.</w:t>
      </w:r>
      <w:r>
        <w:rPr>
          <w:lang w:val="en-CA"/>
        </w:rPr>
        <w:t>, 546 F. Supp. 44 (W.D. Mich. 1982).  Although no cases have yet been brought under USERRA on this issue, the courts will likely consider the same factors.</w:t>
      </w:r>
    </w:p>
    <w:p>
      <w:pPr>
        <w:pStyle w:val="Heading3"/>
        <w:ind w:hanging="0" w:start="0"/>
        <w:rPr>
          <w:b w:val="false"/>
        </w:rPr>
      </w:pPr>
      <w:r>
        <w:rPr/>
        <w:t>§ 653  Employees Who Qualify to Take Leave</w:t>
      </w:r>
    </w:p>
    <w:p>
      <w:pPr>
        <w:pStyle w:val="BodyText"/>
        <w:widowControl/>
        <w:spacing w:before="0" w:after="240"/>
        <w:rPr/>
      </w:pPr>
      <w:r>
        <w:rPr>
          <w:lang w:val="en-CA"/>
        </w:rPr>
        <w:t xml:space="preserve">Under USERRA, reemployment rights and benefits extend to all employees absent from work due to “service in the uniformed services.”  38 U.S.C. § 4301.  The “uniformed services” include the Armed Forces (Army, Navy, Air Force, Marines </w:t>
      </w:r>
      <w:r>
        <w:rPr>
          <w:i/>
          <w:lang w:val="en-CA"/>
        </w:rPr>
        <w:t>et al.</w:t>
      </w:r>
      <w:r>
        <w:rPr>
          <w:lang w:val="en-CA"/>
        </w:rPr>
        <w:t>), the Army National Guard, the Air National Guard, full-time National Guard duty, the commissioned corps of the Public Health Service, and any other category of persons designated by the President in time of war or national emergency.  38 U.S.C. § 4303(16).</w:t>
      </w:r>
    </w:p>
    <w:p>
      <w:pPr>
        <w:pStyle w:val="BodyText"/>
        <w:widowControl/>
        <w:spacing w:before="0" w:after="240"/>
        <w:rPr>
          <w:lang w:val="en-CA"/>
        </w:rPr>
      </w:pPr>
      <w:r>
        <w:rPr>
          <w:lang w:val="en-CA"/>
        </w:rPr>
        <w:t>The former statute provided reemployment rights and benefits to employees who held any position “other than a temporary position” at the time they went on leave.  Because of the confusion that arose regarding what positions were “temporary,” USERRA avoids the term completely.  Instead, USERRA provides that an employer is not obligated to reemploy an individual if his or her employment, prior to military service, was for a “brief, nonrecurrent period and there is no reasonable expectation that such employment will continue indefinitely or for a significant period.”  38 U.S.C. § 4312(d)(1)(C).</w:t>
      </w:r>
    </w:p>
    <w:p>
      <w:pPr>
        <w:pStyle w:val="Heading3"/>
        <w:ind w:hanging="0" w:start="0"/>
        <w:rPr>
          <w:b w:val="false"/>
        </w:rPr>
      </w:pPr>
      <w:r>
        <w:rPr/>
        <w:t>§ 654  Reasons for Taking Leave</w:t>
      </w:r>
    </w:p>
    <w:p>
      <w:pPr>
        <w:pStyle w:val="BodyText"/>
        <w:widowControl/>
        <w:spacing w:before="0" w:after="240"/>
        <w:rPr>
          <w:lang w:val="en-CA"/>
        </w:rPr>
      </w:pPr>
      <w:r>
        <w:rPr>
          <w:lang w:val="en-CA"/>
        </w:rPr>
        <w:t>The performance of the following duties on an involuntary or voluntary basis constitutes “service in the uniformed services” under USERRA:</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active duty;</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active duty for training;</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initial active duty for training;</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inactive duty training;</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full-time National Guard duty; and</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absence from work for an examination to determine an individual’s fitness for any of the above types of duty.</w:t>
      </w:r>
    </w:p>
    <w:p>
      <w:pPr>
        <w:pStyle w:val="BodyPostquote"/>
        <w:widowControl/>
        <w:spacing w:before="0" w:after="240"/>
        <w:rPr>
          <w:lang w:val="en-CA"/>
        </w:rPr>
      </w:pPr>
      <w:r>
        <w:rPr>
          <w:lang w:val="en-CA"/>
        </w:rPr>
        <w:t>38 U.S.C. § 4303(13).</w:t>
      </w:r>
    </w:p>
    <w:p>
      <w:pPr>
        <w:pStyle w:val="Heading3"/>
        <w:ind w:hanging="0" w:start="0"/>
        <w:rPr>
          <w:b w:val="false"/>
        </w:rPr>
      </w:pPr>
      <w:r>
        <w:rPr/>
        <w:t>§ 655  Advance Notice &amp; Verification Requirements</w:t>
      </w:r>
    </w:p>
    <w:p>
      <w:pPr>
        <w:pStyle w:val="BodyText"/>
        <w:widowControl/>
        <w:spacing w:before="0" w:after="240"/>
        <w:rPr>
          <w:lang w:val="en-CA"/>
        </w:rPr>
      </w:pPr>
      <w:r>
        <w:rPr>
          <w:lang w:val="en-CA"/>
        </w:rPr>
        <w:t>USERRA requires that all employees provide advance notice of their military service obligations.  38 U.S.C. § 4312(a)(1).  This notice may be oral or in writing and may be provided by the employee or by an officer of the military branch in which the employee is serving.  Typically, employers request that an employee submit copies of their military orders, training notices, or induction information.  An employer may contact the officer in the military branch who issued the orders, notices, or induction information to confirm their validity.</w:t>
      </w:r>
    </w:p>
    <w:p>
      <w:pPr>
        <w:pStyle w:val="BodyText"/>
        <w:widowControl/>
        <w:spacing w:before="0" w:after="240"/>
        <w:rPr/>
      </w:pPr>
      <w:r>
        <w:rPr>
          <w:lang w:val="en-CA"/>
        </w:rPr>
        <w:t xml:space="preserve">No advance notice is required if “military necessity” precludes doing so or if it is “otherwise impossible or unreasonable.”  38 U.S.C. § 4312(b).  USERRA provides that </w:t>
      </w:r>
      <w:r>
        <w:rPr>
          <w:i/>
          <w:lang w:val="en-CA"/>
        </w:rPr>
        <w:t>military necessity</w:t>
      </w:r>
      <w:r>
        <w:rPr>
          <w:lang w:val="en-CA"/>
        </w:rPr>
        <w:t xml:space="preserve"> shall be defined under the regulations of the Secretary of Defense and shall not be subject to judicial review.  However, questions regarding whether advance notice is “otherwise impossible or unreasonable” can be judicially determined.</w:t>
      </w:r>
    </w:p>
    <w:p>
      <w:pPr>
        <w:pStyle w:val="Heading3"/>
        <w:ind w:hanging="0" w:start="0"/>
        <w:rPr>
          <w:b w:val="false"/>
        </w:rPr>
      </w:pPr>
      <w:r>
        <w:rPr/>
        <w:t>§ 656  Duration &amp; Timing of Leaves</w:t>
      </w:r>
    </w:p>
    <w:p>
      <w:pPr>
        <w:pStyle w:val="BodyText"/>
        <w:widowControl/>
        <w:spacing w:before="0" w:after="240"/>
        <w:rPr>
          <w:lang w:val="en-CA"/>
        </w:rPr>
      </w:pPr>
      <w:r>
        <w:rPr>
          <w:lang w:val="en-CA"/>
        </w:rPr>
        <w:t>Under USERRA, the cumulative length of an individual’s military leave absences from employment may not exceed five years.  38 U.S.C. § 4312(a), (c).  Under the former statute, the maximum period of time that an employee could serve in the military and maintain reemployment rights varied with the type of military service.  The former statute also contained a confusing “four plus one” provision which allowed a fifth year of military service if such service was at the request of the federal government.  USERRA eliminates any such confusion by permitting an individual to accumulate a total absence of five years to serve in the military.</w:t>
      </w:r>
    </w:p>
    <w:p>
      <w:pPr>
        <w:pStyle w:val="BodyText"/>
        <w:widowControl/>
        <w:spacing w:before="0" w:after="240"/>
        <w:rPr>
          <w:lang w:val="en-CA"/>
        </w:rPr>
      </w:pPr>
      <w:r>
        <w:rPr>
          <w:lang w:val="en-CA"/>
        </w:rPr>
        <w:t>The following eight categories of service, however, may not be counted toward the five-year limitation:</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service required beyond five years to complete an initial period of obligated service.  38 U.S.C. § 4312(c)(1).</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service from which an individual, through no fault of his or her own, is unable to obtain a release within the five-year limit.  38 U.S.C. § 4312(c)(2).  For example, the five-year limit will not be applied to individuals whose service dates expire while they are at sea.  Additionally, the five-year limit will not be applied to individuals who are involuntarily retained on active duty (this happened to certain individuals serving in Operations Desert Shield and Desert Storm).</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required training for Reservists and National Guard members.  38 U.S.C. § 4312(c)(3).  The two-week annual training sessions and monthly weekend drills mandated by statute for Reservists and National Guard members are exempt from the five-year limitation.  Also excluded are additional training requirements, certified in writing by the Secretary of the service concerned, to be necessary for professional development or for completion of skills training or retraining.</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service under an involuntary order to, or retention on, active duty during domestic-emergency or national security-related situations.  38 U.S.C. § 4312(c)(4)(A).</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service under an order to, or retention on, active duty (other than for training) during a war or national emergency declared by the President or Congress.  38 U.S.C. § 4312(c)(4)(B).  This category includes service by persons involuntarily ordered to active duty and service by volunteers who receive orders to active duty.</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active duty (other than for training) by volunteers supporting “operational missions” for which selected reservists have been ordered to active duty without their consent.  38 U.S.C. § 4312(c)(4)(C).  Operational missions involve circumstances other than war or national emergency for which, under Presidential authorization, members of the Selected Reserves may be involuntarily ordered to active duty for no more than 270 days.  Operations Desert Shield and Desert Storm were examples of operational missions.  This exemption from the five-year limitation covers persons who are called to active duty after volunteering to support operational missions.  Persons involuntarily ordered to active duty for operational missions would also be covered by the fourth exemption, above.</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service by volunteers who are ordered to active duty in support of a “critical mission or requirement” in times other than war or national emergency and when no involuntary call-up is in effect.  38 U.S.C. § 4312(c)(4)(D).  The secretaries of the various military branches each have authority to designate a military operation as a critical mission or requirement.</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federal service by members of the National Guard called into action by the President to suppress an insurrection, repel an invasion, or to execute the laws of the United States.  38 U.S.C. § 4312(c)(4)(E).</w:t>
      </w:r>
    </w:p>
    <w:p>
      <w:pPr>
        <w:pStyle w:val="BodyText"/>
        <w:widowControl/>
        <w:spacing w:before="0" w:after="240"/>
        <w:rPr>
          <w:lang w:val="en-CA"/>
        </w:rPr>
      </w:pPr>
      <w:r>
        <w:rPr>
          <w:lang w:val="en-CA"/>
        </w:rPr>
        <w:t>An employer cannot refuse to grant an employee a leave of absence because the employer finds the duration, timing, or frequency of an employee’s military obligations to be unreasonable.  However, nothing in the Act would prevent an employer and an employee from voluntarily working together to accommodate each other’s needs.  For example, weekend and annual training might be scheduled in advance or rearranged to meet the needs of the parties.</w:t>
      </w:r>
    </w:p>
    <w:p>
      <w:pPr>
        <w:pStyle w:val="Heading3"/>
        <w:ind w:hanging="0" w:start="0"/>
        <w:rPr>
          <w:b w:val="false"/>
        </w:rPr>
      </w:pPr>
      <w:r>
        <w:rPr/>
        <w:t>§ 657  Compensation during Leave</w:t>
      </w:r>
    </w:p>
    <w:p>
      <w:pPr>
        <w:pStyle w:val="BodyText"/>
        <w:widowControl/>
        <w:spacing w:before="0" w:after="240"/>
        <w:rPr/>
      </w:pPr>
      <w:r>
        <w:rPr>
          <w:lang w:val="en-CA"/>
        </w:rPr>
        <w:t xml:space="preserve">Employers are not required to compensate employees for absences due to military service.  An employee may elect to use any accrued vacation leave in lieu of unpaid military leave.  38 U.S.C. § 4316(d).  However, an employer cannot require an employee to use vacation time for the purpose of military leave.  </w:t>
      </w:r>
      <w:r>
        <w:rPr>
          <w:i/>
          <w:lang w:val="en-CA"/>
        </w:rPr>
        <w:t>See Graham v. Hall-McMillen Co.</w:t>
      </w:r>
      <w:r>
        <w:rPr>
          <w:lang w:val="en-CA"/>
        </w:rPr>
        <w:t>, 925 F. Supp. 437 (N.D. Miss. 1996).</w:t>
      </w:r>
    </w:p>
    <w:p>
      <w:pPr>
        <w:pStyle w:val="BodyText"/>
        <w:widowControl/>
        <w:spacing w:before="0" w:after="240"/>
        <w:rPr/>
      </w:pPr>
      <w:r>
        <w:rPr>
          <w:lang w:val="en-CA"/>
        </w:rPr>
        <w:t xml:space="preserve">Employers must also be mindful of the salary pay requirement when overtime-exempt employees miss part of a workweek due to military service.  Under the Fair Labor Standards Act (FLSA), 29 U.S.C. § 201 </w:t>
      </w:r>
      <w:r>
        <w:rPr>
          <w:i/>
          <w:lang w:val="en-CA"/>
        </w:rPr>
        <w:t>et seq.</w:t>
      </w:r>
      <w:r>
        <w:rPr>
          <w:lang w:val="en-CA"/>
        </w:rPr>
        <w:t xml:space="preserve">, an exempt employee cannot incur any reduction in weekly salary if the employee misses part of a workweek due to military leave.  29 C.F.R. § 541.118(a)(4).  An employer is not obligated to pay an employee’s salary, however, if the employee is absent for a </w:t>
      </w:r>
      <w:r>
        <w:rPr>
          <w:i/>
          <w:lang w:val="en-CA"/>
        </w:rPr>
        <w:t>complete workweek</w:t>
      </w:r>
      <w:r>
        <w:rPr>
          <w:lang w:val="en-CA"/>
        </w:rPr>
        <w:t xml:space="preserve"> due to military service.</w:t>
      </w:r>
    </w:p>
    <w:p>
      <w:pPr>
        <w:pStyle w:val="Heading3"/>
        <w:ind w:hanging="0" w:start="0"/>
        <w:rPr>
          <w:b w:val="false"/>
        </w:rPr>
      </w:pPr>
      <w:r>
        <w:rPr/>
        <w:t>§ 658  Benefit Implications of Leave</w:t>
      </w:r>
    </w:p>
    <w:p>
      <w:pPr>
        <w:pStyle w:val="BodyText"/>
        <w:widowControl/>
        <w:spacing w:before="0" w:after="240"/>
        <w:rPr>
          <w:lang w:val="en-CA"/>
        </w:rPr>
      </w:pPr>
      <w:r>
        <w:rPr>
          <w:lang w:val="en-CA"/>
        </w:rPr>
        <w:t>Employees on military leave are entitled to the same benefits provided to employees on other leaves.  38 U.S.C. § 4316(b)(1)(B).  For example, if an employer provides employees on other types of unpaid leave with continued health insurance, life insurance, disability insurance, or other benefits, then these same benefits must be provided to employees on military leave.</w:t>
      </w:r>
    </w:p>
    <w:p>
      <w:pPr>
        <w:pStyle w:val="BodyText"/>
        <w:widowControl/>
        <w:spacing w:before="0" w:after="240"/>
        <w:rPr>
          <w:lang w:val="en-CA"/>
        </w:rPr>
      </w:pPr>
      <w:r>
        <w:rPr>
          <w:lang w:val="en-CA"/>
        </w:rPr>
        <w:t>The same analysis applies to paid vacation.  If employees on other types of leave continue to accrue vacation, then employees on military leave must continue to accrue vacation.  At a minimum, an employee returning from military leave is entitled to any vacation accrued at the time the leave began and the employee is entitled to begin accruing vacation at the rate the employee would have attained if the employee had not taken military leave.</w:t>
      </w:r>
    </w:p>
    <w:p>
      <w:pPr>
        <w:pStyle w:val="BodyText"/>
        <w:widowControl/>
        <w:spacing w:before="0" w:after="240"/>
        <w:rPr>
          <w:lang w:val="en-CA"/>
        </w:rPr>
      </w:pPr>
      <w:r>
        <w:rPr>
          <w:lang w:val="en-CA"/>
        </w:rPr>
        <w:t>Employees returning from military leave are entitled to “the seniority and other rights and benefits determined by seniority” that they would have attained with reasonable certainty had they not gone on leave.  38 U.S.C. § 4316(a).  A right or benefit is seniority based if it is determined by or accrues with length of service.  Thus, as noted above, returning employees are entitled to accrue vacation at the rate they otherwise would have attained if they had continued working.  Additionally, individuals returning from military leave are entitled to nonseniority-based rights and benefits established by contract, practice, policy, or agreement in effect at the beginning of their military service or implemented during the leave.  38 U.S.C. § 4316(b)(1)(B).  A right or benefit is considered nonseniority based if it is compensation for work performed or is subject to a significant contingency.  Under the prior statute, employees were only entitled to nonseniority rights and benefits available at the time they left for military service.</w:t>
      </w:r>
    </w:p>
    <w:p>
      <w:pPr>
        <w:pStyle w:val="BodyText"/>
        <w:widowControl/>
        <w:spacing w:before="0" w:after="240"/>
        <w:rPr>
          <w:lang w:val="en-CA"/>
        </w:rPr>
      </w:pPr>
      <w:r>
        <w:rPr>
          <w:lang w:val="en-CA"/>
        </w:rPr>
        <w:t>Individuals returning from military leave are required to pay the employee cost, if any, of any funded benefit to the extent that other employees on leaves of absence would be required to pay.  USERRA also provides that an employee may not be entitled to these leave of absence or nonseniority benefits if the employee knowingly provides a written notice of his or her intent not to return to employment after military service.  38 U.S.C. § 4316(b)(2)(A)(ii).</w:t>
      </w:r>
    </w:p>
    <w:p>
      <w:pPr>
        <w:pStyle w:val="BodyText"/>
        <w:widowControl/>
        <w:spacing w:before="0" w:after="240"/>
        <w:rPr/>
      </w:pPr>
      <w:r>
        <w:rPr>
          <w:lang w:val="en-CA"/>
        </w:rPr>
        <w:t>Unlike the former statute, USERRA requires an employer to offer to individuals on military leave for a period of up to eighteen months the option of continuing their health insurance coverage by self-paying the cost of such coverage.  38 U.S.C. § 4317.  This provision is similar to the protections offered by COBRA but it also applies to employers with fewer than twenty employees who are exempt from COBRA.  If an employee’s period of military leave does not exceed thirty</w:t>
        <w:noBreakHyphen/>
        <w:t xml:space="preserve">one days, the employee </w:t>
      </w:r>
      <w:r>
        <w:rPr>
          <w:i/>
          <w:lang w:val="en-CA"/>
        </w:rPr>
        <w:t>cannot</w:t>
      </w:r>
      <w:r>
        <w:rPr>
          <w:lang w:val="en-CA"/>
        </w:rPr>
        <w:t xml:space="preserve"> be required to contribute more than the employee’s normal share of any premium.  38 U.S.C. § 4317(a)(2).  If military service exceeds thirty</w:t>
        <w:noBreakHyphen/>
        <w:t xml:space="preserve">one days, the employee may be required to contribute up to one hundred two percent of the full premium under the health plan; the extra two percent can be added to cover an employer’s administrative costs.  </w:t>
      </w:r>
      <w:r>
        <w:rPr>
          <w:i/>
          <w:lang w:val="en-CA"/>
        </w:rPr>
        <w:t>Id.</w:t>
      </w:r>
      <w:r>
        <w:rPr>
          <w:lang w:val="en-CA"/>
        </w:rPr>
        <w:t xml:space="preserve">  In the case of multi</w:t>
        <w:noBreakHyphen/>
        <w:t xml:space="preserve">employer plans, the plan may allocate the responsibility to pay for this coverage.  However, if the plan does not make this allocation, the last employer assumes the liability.  38 U.S.C. § 4317(a)(3)(B).  If the last employer is not functional, the plan retains the liability.  </w:t>
      </w:r>
      <w:r>
        <w:rPr>
          <w:i/>
          <w:lang w:val="en-CA"/>
        </w:rPr>
        <w:t>Id.</w:t>
      </w:r>
      <w:r>
        <w:rPr>
          <w:lang w:val="en-CA"/>
        </w:rPr>
        <w:t xml:space="preserve">  If an employee’s coverage under a health plan was terminated because the employee was on military leave and not working, USERRA mandates that a waiting period or exclusion period cannot be imposed upon reinstatement if health coverage would have been provided had that individual not been absent for military leave.  38 U.S.C. § 4317(b)(1).</w:t>
      </w:r>
    </w:p>
    <w:p>
      <w:pPr>
        <w:pStyle w:val="BodyText"/>
        <w:widowControl/>
        <w:spacing w:before="0" w:after="240"/>
        <w:rPr>
          <w:lang w:val="en-CA"/>
        </w:rPr>
      </w:pPr>
      <w:r>
        <w:rPr>
          <w:lang w:val="en-CA"/>
        </w:rPr>
        <w:t>USERRA also provides expanded pension rights for employees on military leave.  The Act requires that a reemployed individual must be treated as not having incurred any break in service for the employee’s pension plan.  38 U.S.C. § 4318(a)(2)(A).  Additionally, periods of military service must be considered as service with an employer for vesting and benefit accrual purposes.  38 U.S.C. § 4318(a)(2)(B).  Employers are required to make, on behalf of employees returning from military leave, any pension contributions that the employer would have made if the employee had not been absent due to military leave.  38 U.S.C. § 4318(b)(1).</w:t>
      </w:r>
    </w:p>
    <w:p>
      <w:pPr>
        <w:pStyle w:val="BodyText"/>
        <w:widowControl/>
        <w:spacing w:before="0" w:after="240"/>
        <w:rPr>
          <w:lang w:val="en-CA"/>
        </w:rPr>
      </w:pPr>
      <w:r>
        <w:rPr>
          <w:lang w:val="en-CA"/>
        </w:rPr>
        <w:t>For contributory plans, which offer benefits only where the employee makes contributions, employees returning from military leave must be given three times the period of the absence to make up missed contributions (not to exceed five years).  38 U.S.C. § 4318(b)(2).  Under these types of pension plans, an employer is only required to make matching contributions to the extent that a returning employee makes the required contribution to the plan.</w:t>
      </w:r>
    </w:p>
    <w:p>
      <w:pPr>
        <w:pStyle w:val="BodyText"/>
        <w:widowControl/>
        <w:spacing w:before="0" w:after="240"/>
        <w:rPr>
          <w:lang w:val="en-CA"/>
        </w:rPr>
      </w:pPr>
      <w:r>
        <w:rPr>
          <w:lang w:val="en-CA"/>
        </w:rPr>
        <w:t>While USERRA clarifies an employee’s rights and the employer’s obligations with respect to benefits, the Act is still quite complicated, especially with respect to pension benefits.  Accordingly, employers should contact experienced legal counsel when determining the benefit implications of an employee’s military leave.</w:t>
      </w:r>
    </w:p>
    <w:p>
      <w:pPr>
        <w:pStyle w:val="Heading3"/>
        <w:ind w:hanging="0" w:start="0"/>
        <w:rPr>
          <w:b w:val="false"/>
        </w:rPr>
      </w:pPr>
      <w:r>
        <w:rPr/>
        <w:t>§ 659  Reinstatement Obligations</w:t>
      </w:r>
    </w:p>
    <w:p>
      <w:pPr>
        <w:pStyle w:val="BodyText"/>
        <w:widowControl/>
        <w:spacing w:before="0" w:after="240"/>
        <w:rPr>
          <w:lang w:val="en-CA"/>
        </w:rPr>
      </w:pPr>
      <w:r>
        <w:rPr>
          <w:lang w:val="en-CA"/>
        </w:rPr>
        <w:t>Both an employee and the employer have obligations under USERRA with respect to an employee’s return to employment following a military leave.</w:t>
      </w:r>
    </w:p>
    <w:p>
      <w:pPr>
        <w:pStyle w:val="Heading4"/>
        <w:ind w:hanging="0" w:start="0"/>
        <w:rPr>
          <w:b w:val="false"/>
        </w:rPr>
      </w:pPr>
      <w:r>
        <w:rPr/>
        <w:t>§ 659.1  Time period within which to seek reinstatement</w:t>
      </w:r>
    </w:p>
    <w:p>
      <w:pPr>
        <w:pStyle w:val="BodyText"/>
        <w:widowControl/>
        <w:spacing w:before="0" w:after="240"/>
        <w:rPr/>
      </w:pPr>
      <w:r>
        <w:rPr>
          <w:lang w:val="en-CA"/>
        </w:rPr>
        <w:t>Under the former statute, the time in which an individual must apply for reemployment depended upon the type of military service he or she performed.  For example, employees had ninety days to reapply upon returning from active duty, thirty</w:t>
        <w:noBreakHyphen/>
        <w:t xml:space="preserve">one days to reapply upon returning from initial active duty for training, and employees returning from active duty training had to report on the next regularly scheduled workday.  Under USERRA, time limits for returning to work now depend upon the </w:t>
      </w:r>
      <w:r>
        <w:rPr>
          <w:i/>
          <w:lang w:val="en-CA"/>
        </w:rPr>
        <w:t>duration</w:t>
      </w:r>
      <w:r>
        <w:rPr>
          <w:lang w:val="en-CA"/>
        </w:rPr>
        <w:t xml:space="preserve"> of an individual’s military service.</w:t>
      </w:r>
    </w:p>
    <w:p>
      <w:pPr>
        <w:pStyle w:val="BodyText"/>
        <w:widowControl/>
        <w:spacing w:before="0" w:after="240"/>
        <w:rPr>
          <w:lang w:val="en-CA"/>
        </w:rPr>
      </w:pPr>
      <w:r>
        <w:rPr>
          <w:lang w:val="en-CA"/>
        </w:rPr>
        <w:t>Under USERRA, if an employee’s military service is less than thirty</w:t>
        <w:noBreakHyphen/>
        <w:t>one days, or is for the purpose of taking an examination to determine fitness for service, the employee must report for reemployment at the beginning of the first regularly scheduled workday that would fall eight hours after he or she returns home.  If, due to no fault of the employee, reporting within that period is impossible or unreasonable, the employee must report back to work as soon as possible.  38 U.S.C. § 4312(e)(1)(A).  If the period of service is thirty</w:t>
        <w:noBreakHyphen/>
        <w:t>one days to one hundred eighty days, the employee must submit an application to his or her employer no later than fourteen days following completion of service.  If submission of a timely application is impossible or unreasonable through no fault of the employee, the application must be submitted as soon as possible.  If the period of military service is greater than one hundred eighty days, the employee must submit an application to his or her employer not later than ninety days after completion of the service.</w:t>
      </w:r>
    </w:p>
    <w:p>
      <w:pPr>
        <w:pStyle w:val="BodyText"/>
        <w:widowControl/>
        <w:spacing w:before="0" w:after="240"/>
        <w:rPr>
          <w:lang w:val="en-CA"/>
        </w:rPr>
      </w:pPr>
      <w:r>
        <w:rPr>
          <w:lang w:val="en-CA"/>
        </w:rPr>
        <w:t>The Act provides for an extension of these time limits for up to two years if an employee is hospitalized or convalescing from a service-related illness or injury.  The two-year period may be extended by the minimum time required to accommodate a circumstance, beyond an individual’s control, that would make reporting within the two-year extension period impossible or unreasonable.  38 U.S.C. § 4312(e)(2)(A).</w:t>
      </w:r>
    </w:p>
    <w:p>
      <w:pPr>
        <w:pStyle w:val="BodyText"/>
        <w:widowControl/>
        <w:spacing w:before="0" w:after="240"/>
        <w:rPr/>
      </w:pPr>
      <w:r>
        <w:rPr>
          <w:lang w:val="en-CA"/>
        </w:rPr>
        <w:t xml:space="preserve">If an employee fails to report to work or to reapply for employment within the appropriate time frame under the Act, the employee shall be subject to the employer’s policy regarding unexcused absences.  38 U.S.C. § 4312(e)(3).  Please note that some state military leave statutes are more flexible than USERRA.  For example, Kentucky’s military leave law, Kentucky Revised Statutes section 38.238, provides that an employee who is “required to perform active duty or training in the National Guard” is permitted to return to his “former position of employment with the seniority, status, pay, or any other rights or benefits he would have had if he had not been absent.”  There are no requirements regarding the time frame for a returning employee to report for reinstatement.  In Colorado, state law provides that an employee who takes military leave is entitled to reemployment if the position was other than temporary, the employee provides evidence of the satisfactory completion of military duty, and the employee is still qualified to perform the work duties.  </w:t>
      </w:r>
      <w:r>
        <w:rPr>
          <w:smallCaps/>
          <w:lang w:val="en-CA"/>
        </w:rPr>
        <w:t xml:space="preserve">Colo. Rev. Stat. § 28-3-609.  </w:t>
      </w:r>
      <w:r>
        <w:rPr>
          <w:lang w:val="en-CA"/>
        </w:rPr>
        <w:t>Colorado law makes no mention of an employee’s obligation to seek reinstatement within a specific time frame following the end of military duty.  Employers should consult legal counsel regarding state law.</w:t>
      </w:r>
    </w:p>
    <w:p>
      <w:pPr>
        <w:pStyle w:val="Heading4"/>
        <w:ind w:hanging="0" w:start="0"/>
        <w:rPr>
          <w:b w:val="false"/>
        </w:rPr>
      </w:pPr>
      <w:r>
        <w:rPr/>
        <w:t>§ 659.2  Employee reinstatement obligations</w:t>
      </w:r>
    </w:p>
    <w:p>
      <w:pPr>
        <w:pStyle w:val="BodyText"/>
        <w:widowControl/>
        <w:spacing w:before="0" w:after="240"/>
        <w:rPr>
          <w:lang w:val="en-CA"/>
        </w:rPr>
      </w:pPr>
      <w:r>
        <w:rPr>
          <w:lang w:val="en-CA"/>
        </w:rPr>
        <w:t>As discussed above, to be eligible for reemployment rights under USERRA, an employee must have provided appropriate notice of his or her military leave obligations, must have served for a period not exceeding five years (subject to the above-mentioned exceptions), and must have reapplied for employment within the appropriate time frame.</w:t>
      </w:r>
    </w:p>
    <w:p>
      <w:pPr>
        <w:pStyle w:val="BodyText"/>
        <w:widowControl/>
        <w:spacing w:before="0" w:after="240"/>
        <w:rPr/>
      </w:pPr>
      <w:r>
        <w:rPr>
          <w:lang w:val="en-CA"/>
        </w:rPr>
        <w:t xml:space="preserve">USERRA also requires that employees complete military-related service under </w:t>
      </w:r>
      <w:r>
        <w:rPr>
          <w:i/>
          <w:lang w:val="en-CA"/>
        </w:rPr>
        <w:t>honorable conditions</w:t>
      </w:r>
      <w:r>
        <w:rPr>
          <w:lang w:val="en-CA"/>
        </w:rPr>
        <w:t xml:space="preserve"> in order to be eligible for reemployment rights.  38 U.S.C. § 4304.  The Act lists four circumstances under which an employee’s reemployment rights would be terminated due to conduct:</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separation from service with a dishonorable or bad conduct discharge;</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dismissal of a commissioned officer in certain situations involving a court martial or by order of the President in time of war;</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dropping of a commissioned officer from the rolls when the officer has been absent without authority for more than three months or who is imprisoned by a civilian court; and</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separation from the service under other than honorable conditions.</w:t>
      </w:r>
    </w:p>
    <w:p>
      <w:pPr>
        <w:pStyle w:val="BodyPostquote"/>
        <w:widowControl/>
        <w:spacing w:before="0" w:after="240"/>
        <w:rPr>
          <w:lang w:val="en-CA"/>
        </w:rPr>
      </w:pPr>
      <w:r>
        <w:rPr>
          <w:lang w:val="en-CA"/>
        </w:rPr>
        <w:t>38 U.S.C. § 4304.  Regulations for each military branch specify when separation from the service will be considered “other than honorable.”</w:t>
      </w:r>
    </w:p>
    <w:p>
      <w:pPr>
        <w:pStyle w:val="BodyText"/>
        <w:widowControl/>
        <w:spacing w:before="0" w:after="240"/>
        <w:rPr>
          <w:lang w:val="en-CA"/>
        </w:rPr>
      </w:pPr>
      <w:r>
        <w:rPr>
          <w:lang w:val="en-CA"/>
        </w:rPr>
        <w:t>Additionally, under USERRA, an employer has the right to request that an individual on military leave for a period of thirty</w:t>
        <w:noBreakHyphen/>
        <w:t>one days or more provide documentation that establishes the timeliness of his or her application for reemployment, and the length and character of military service.  If documentation is unavailable, the employer is obligated to reemploy the individual until the documentation becomes available.  If, after reemploying the individual, the employer receives documentation that establishes one or more of the reemployment requirements have not been met, the employer may discharge the individual.  Employers should note that termination under these circumstances would be effective as of the date that the documents are provided and cannot be applied retroactively.  38 U.S.C. § 4312(f)(3)(A).</w:t>
      </w:r>
    </w:p>
    <w:p>
      <w:pPr>
        <w:pStyle w:val="BodyText"/>
        <w:widowControl/>
        <w:spacing w:before="0" w:after="240"/>
        <w:rPr>
          <w:lang w:val="en-CA"/>
        </w:rPr>
      </w:pPr>
      <w:r>
        <w:rPr>
          <w:lang w:val="en-CA"/>
        </w:rPr>
        <w:t>If an employee has been on military leave for a period of ninety</w:t>
        <w:noBreakHyphen/>
        <w:t>one days or more, an employer may delay making retroactive pension contributions until the person submits satisfactory documentation.  However, employers are obligated to make retroactive pension contributions to individuals returning from military leave for periods of ninety days or less.  38 U.S.C. § 4312(f)(3)(B).  A more detailed discussion of pension obligations follows below.</w:t>
      </w:r>
    </w:p>
    <w:p>
      <w:pPr>
        <w:pStyle w:val="BodyText"/>
        <w:widowControl/>
        <w:spacing w:before="0" w:after="240"/>
        <w:rPr>
          <w:lang w:val="en-CA"/>
        </w:rPr>
      </w:pPr>
      <w:r>
        <w:rPr>
          <w:lang w:val="en-CA"/>
        </w:rPr>
        <w:t xml:space="preserve">Whether an employee met his or her obligation to apply for reinstatement must be analyzed by focusing on the intent and reasonable expectations of both the former employee and employer.  </w:t>
      </w:r>
      <w:r>
        <w:rPr>
          <w:i/>
          <w:lang w:val="en-CA"/>
        </w:rPr>
        <w:t>Shadle v. Superwood Corp.</w:t>
      </w:r>
      <w:r>
        <w:rPr>
          <w:lang w:val="en-CA"/>
        </w:rPr>
        <w:t xml:space="preserve">, 858 F.2d 437, 439 (8th Cir. 1988).  In 1998, one court found that a returning employee had an affirmative obligation to contact the human resources department of the company.  In </w:t>
      </w:r>
      <w:r>
        <w:rPr>
          <w:i/>
          <w:lang w:val="en-CA"/>
        </w:rPr>
        <w:t>McGuire v. United Parcel Service</w:t>
      </w:r>
      <w:r>
        <w:rPr>
          <w:lang w:val="en-CA"/>
        </w:rPr>
        <w:t xml:space="preserve">, 152 F.3d 673 (7th Cir. 1998), a returning employee contacted his old supervisor about getting his job back.  The supervisor informed the employee that the “law specifies that there are no requirements for reemployment,” and that the employee should contact the human resources department.  </w:t>
      </w:r>
      <w:r>
        <w:rPr>
          <w:i/>
          <w:lang w:val="en-CA"/>
        </w:rPr>
        <w:t>Id.</w:t>
      </w:r>
      <w:r>
        <w:rPr>
          <w:lang w:val="en-CA"/>
        </w:rPr>
        <w:t xml:space="preserve"> at 675.  The employee interpreted the supervisor’s statement to mean that there was no requirement that the company reemploy him; therefore, the employee never contacted human resources.  Although the court recognized that the supervisor’s comment was ambiguous, the court held that the employee had an obligation to contact the human resources department, not just the supervisor.  </w:t>
      </w:r>
      <w:r>
        <w:rPr>
          <w:i/>
          <w:lang w:val="en-CA"/>
        </w:rPr>
        <w:t>Id.</w:t>
      </w:r>
      <w:r>
        <w:rPr>
          <w:lang w:val="en-CA"/>
        </w:rPr>
        <w:t xml:space="preserve"> at 678.  Because the employee did not contact the human resources department, the court held that the employee could not sustain a claim under USERRA.  </w:t>
      </w:r>
      <w:r>
        <w:rPr>
          <w:i/>
          <w:lang w:val="en-CA"/>
        </w:rPr>
        <w:t>Id.</w:t>
      </w:r>
    </w:p>
    <w:p>
      <w:pPr>
        <w:pStyle w:val="Heading4"/>
        <w:ind w:hanging="0" w:start="0"/>
        <w:rPr>
          <w:b w:val="false"/>
        </w:rPr>
      </w:pPr>
      <w:r>
        <w:rPr/>
        <w:t>§ 659.3  Employer reinstatement obligations</w:t>
      </w:r>
    </w:p>
    <w:p>
      <w:pPr>
        <w:pStyle w:val="BodyText"/>
        <w:widowControl/>
        <w:spacing w:before="0" w:after="240"/>
        <w:rPr>
          <w:lang w:val="en-CA"/>
        </w:rPr>
      </w:pPr>
      <w:r>
        <w:rPr>
          <w:lang w:val="en-CA"/>
        </w:rPr>
        <w:t>If an employee has met the requirements for reinstatement, his or her former employer (or that employer’s successor in interest) has an affirmative obligation to reemploy the employee subject only to very limited exceptions.  38 U.S.C. § 4312(h).  Failure to reinstate an individual following a period of military service is one of the most common complaints under USERRA.</w:t>
      </w:r>
    </w:p>
    <w:p>
      <w:pPr>
        <w:pStyle w:val="BodyText"/>
        <w:widowControl/>
        <w:spacing w:before="0" w:after="240"/>
        <w:rPr/>
      </w:pPr>
      <w:r>
        <w:rPr>
          <w:lang w:val="en-CA"/>
        </w:rPr>
        <w:t xml:space="preserve">Under USERRA, individuals are entitled to reinstatement to the position the individual </w:t>
      </w:r>
      <w:r>
        <w:rPr>
          <w:i/>
          <w:lang w:val="en-CA"/>
        </w:rPr>
        <w:t>would have attained</w:t>
      </w:r>
      <w:r>
        <w:rPr>
          <w:lang w:val="en-CA"/>
        </w:rPr>
        <w:t xml:space="preserve"> if he or she had not gone on military leave.  USERRA provides that an individual with fewer than ninety</w:t>
        <w:noBreakHyphen/>
        <w:t>one days of military service must be “promptly reemployed” in a position that he or she would have attained if continuously employed, so long as the individual is qualified for the job or can become qualified after reasonable efforts by the employer to qualify the individual.  38 U.S.C. § 4313(a)(1)(A).  If the individual is not qualified for that position, the individual must be reemployed in the position he or she left prior to military service.  38 U.S.C. § 4313(a)(1)(B).  Under the Act, employers no longer have the option of offering other jobs of equivalent seniority, status, and pay to returning employees.  If, however, the individual is not qualified for the position he or she would have attained or the position he or she previously held, the employer must reemploy the individual in any other position that is the nearest approximation of which he or she is qualified, with full seniority.  38 U.S.C. § 4313(a)(4).</w:t>
      </w:r>
    </w:p>
    <w:p>
      <w:pPr>
        <w:pStyle w:val="BodyText"/>
        <w:widowControl/>
        <w:spacing w:before="0" w:after="240"/>
        <w:rPr>
          <w:lang w:val="en-CA"/>
        </w:rPr>
      </w:pPr>
      <w:r>
        <w:rPr>
          <w:lang w:val="en-CA"/>
        </w:rPr>
        <w:t>For employees who have served ninety</w:t>
        <w:noBreakHyphen/>
        <w:t>one days or more of military service, the employer’s reinstatement obligations are very similar.  The Act requires employers to promptly reemploy individuals returning from military service of ninety</w:t>
        <w:noBreakHyphen/>
        <w:t>one days or more in a position that he or she would have attained if continuously employed, so long as the individual is qualified for the job or can become qualified after reasonable efforts by the employer to qualify the person.  If the individual cannot become qualified for the position he or she would have attained, the employer is obligated to reemploy that individual in his or her former position, or in a position of equivalent seniority, status, and pay, so long as the individual is qualified for the job or could become qualified after reasonable efforts by the employer to qualify the individual.  Those employees serving ninety</w:t>
        <w:noBreakHyphen/>
        <w:t>one days or more of military service who cannot qualify for the position they would have attained, their former positions, or a position of equivalent seniority, status, and pay must be placed in a position of like seniority, status and pay for which they are qualified to perform, with full seniority.  38 U.S.C. § 4313(a)(2).</w:t>
      </w:r>
    </w:p>
    <w:p>
      <w:pPr>
        <w:pStyle w:val="BodyText"/>
        <w:widowControl/>
        <w:spacing w:before="0" w:after="240"/>
        <w:rPr/>
      </w:pPr>
      <w:r>
        <w:rPr>
          <w:lang w:val="en-CA"/>
        </w:rPr>
        <w:t xml:space="preserve">USERRA expands the obligations of an employer by requiring employers to “promptly” reemploy individuals returning from military leave.  However, the Act does not define </w:t>
      </w:r>
      <w:r>
        <w:rPr>
          <w:i/>
          <w:lang w:val="en-CA"/>
        </w:rPr>
        <w:t>prompt reemployment</w:t>
      </w:r>
      <w:r>
        <w:rPr>
          <w:lang w:val="en-CA"/>
        </w:rPr>
        <w:t>.  Whether reemployment is prompt will likely depend upon the circumstances of each individual case.  Reinstatement after a weekend of reserve duty will generally be the next regularly scheduled working day.  On the other hand, reinstatement following several years of military leave might require a period of time for the employer to give notice to an incumbent employee who has occupied the returning employee’s position and who must now vacate that position.</w:t>
      </w:r>
    </w:p>
    <w:p>
      <w:pPr>
        <w:pStyle w:val="BodyText"/>
        <w:widowControl/>
        <w:spacing w:before="0" w:after="240"/>
        <w:rPr/>
      </w:pPr>
      <w:r>
        <w:rPr>
          <w:lang w:val="en-CA"/>
        </w:rPr>
        <w:t xml:space="preserve">Although not explicitly covered in USERRA, there can be situations in which a returning employee waives his right to reinstatement to his or her prior position.  In a case under the former statute, a returning flight engineer requested an engineer position for a 747 aircraft, whereas previously, the engineer worked on the DC-8 aircraft.  When the veteran could not complete the required training for the 747, the employer dismissed the engineer.  The veteran claimed that the employer had an obligation to return him to the DC-8.  A federal district court disagreed, holding “that where a veteran seeks reinstatement with a former employer, but affirmatively requests placement into a position where he knowingly has to fulfill more rigorous standards than those required by the position held prior to his activation or induction into military service, the veteran may be deemed to have waived his right to reinstatement into his old position.”  </w:t>
      </w:r>
      <w:r>
        <w:rPr>
          <w:i/>
          <w:lang w:val="en-CA"/>
        </w:rPr>
        <w:t>Couture v. Evergreen International Airlines</w:t>
      </w:r>
      <w:r>
        <w:rPr>
          <w:lang w:val="en-CA"/>
        </w:rPr>
        <w:t>, 950 F. Supp. 614, 620 (D. Del. 1996).  This holding could impact an employer’s obligation to reinstate a veteran under USERRA if the veteran seeks reinstatement to a different job.</w:t>
      </w:r>
    </w:p>
    <w:p>
      <w:pPr>
        <w:pStyle w:val="BodyText"/>
        <w:widowControl/>
        <w:spacing w:before="0" w:after="240"/>
        <w:rPr>
          <w:lang w:val="en-CA"/>
        </w:rPr>
      </w:pPr>
      <w:r>
        <w:rPr>
          <w:lang w:val="en-CA"/>
        </w:rPr>
        <w:t>An employer’s training obligations are also expanded under USERRA.  Employers now have a duty to make reasonable efforts to provide refresher training and any other training necessary to update a returning employee’s skills in circumstances where the employee is no longer qualified due to technological advances.  Employers are excused from providing training only if the required training would be of such difficulty or expense as to cause undue hardship for the employer.  “Undue hardship” has the same meaning under USERRA as it does under the Americans with Disabilities Act.</w:t>
      </w:r>
    </w:p>
    <w:p>
      <w:pPr>
        <w:pStyle w:val="BodyText"/>
        <w:widowControl/>
        <w:spacing w:before="0" w:after="240"/>
        <w:rPr>
          <w:lang w:val="en-CA"/>
        </w:rPr>
      </w:pPr>
      <w:r>
        <w:rPr>
          <w:lang w:val="en-CA"/>
        </w:rPr>
        <w:t>Employers also have specific obligations to those individuals returning from military leave with service-related disabilities.  First, the employer must make reasonable efforts to accommodate an employee’s disability so that the employee can perform the position he or she would have held but for military service.  38 U.S.C. § 4313(a)(3).  If, despite reasonable accommodations, the employee is not qualified for that position due to his or her military-related disability, the employee must be reemployed in a position of equivalent seniority, status, and pay for which he or she is qualified or could become qualified to perform.  Failing this, the employee must be reemployed in a position which is the “nearest approximation” in terms of seniority, status, and pay consistent with that individual’s case.</w:t>
      </w:r>
    </w:p>
    <w:p>
      <w:pPr>
        <w:pStyle w:val="BodyText"/>
        <w:widowControl/>
        <w:spacing w:before="0" w:after="240"/>
        <w:rPr>
          <w:lang w:val="en-CA"/>
        </w:rPr>
      </w:pPr>
      <w:r>
        <w:rPr>
          <w:lang w:val="en-CA"/>
        </w:rPr>
        <w:t>Under the prior statute, employers were required to make reasonable accommodations for disabled employees only if they employed fifteen or more employees.  Under USERRA, all employers are obligated to provide reasonable accommodation for individuals with military-related disabilities regardless of size.</w:t>
      </w:r>
    </w:p>
    <w:p>
      <w:pPr>
        <w:pStyle w:val="BodyText"/>
        <w:widowControl/>
        <w:spacing w:before="0" w:after="240"/>
        <w:rPr>
          <w:lang w:val="en-CA"/>
        </w:rPr>
      </w:pPr>
      <w:r>
        <w:rPr>
          <w:lang w:val="en-CA"/>
        </w:rPr>
        <w:t>Finally, USERRA provides expanded protection to individuals with conflicting reemployment claims.  Under the former statute, if two or more individuals were entitled to reemployment in the same position, the individual who left first had a superior right to be reemployed to that position.  USERRA maintains that right but offers explicit protection to the other individuals.  Under the Act, the individual who left first has the superior right to the position, while the other returning employees are entitled to reemployment with full seniority in any other position that provides similar status and pay or in a position which is the nearest approximation consistent with the circumstances of the individual’s case.  38 U.S.C. § 4313(b)(1).</w:t>
      </w:r>
    </w:p>
    <w:p>
      <w:pPr>
        <w:pStyle w:val="Heading3"/>
        <w:ind w:hanging="0" w:start="0"/>
        <w:rPr>
          <w:b w:val="false"/>
        </w:rPr>
      </w:pPr>
      <w:r>
        <w:rPr/>
        <w:t>§ 660  Protection of Reinstated Veterans from Discharge or Discrimination</w:t>
      </w:r>
    </w:p>
    <w:p>
      <w:pPr>
        <w:pStyle w:val="BodyText"/>
        <w:widowControl/>
        <w:spacing w:before="0" w:after="240"/>
        <w:rPr/>
      </w:pPr>
      <w:r>
        <w:rPr>
          <w:lang w:val="en-CA"/>
        </w:rPr>
        <w:t xml:space="preserve">Employees reemployed after a military leave of 181 days or more may not be discharged without cause for one year after the date of reemployment.  38 U.S.C. § 4316(c)(1).  Additionally, an employee who is reemployed after a military leave of 30 days but less than 180 days may not be discharged without cause for six months after the date of reemployment.  </w:t>
      </w:r>
      <w:r>
        <w:rPr>
          <w:i/>
          <w:lang w:val="en-CA"/>
        </w:rPr>
        <w:t xml:space="preserve">Id. </w:t>
      </w:r>
      <w:r>
        <w:rPr>
          <w:lang w:val="en-CA"/>
        </w:rPr>
        <w:t>at § 4316(c)(2).  Employees who are reemployed after military leaves of less than 30 days are not protected from discharge without cause.</w:t>
      </w:r>
    </w:p>
    <w:p>
      <w:pPr>
        <w:pStyle w:val="BodyText"/>
        <w:widowControl/>
        <w:spacing w:before="0" w:after="240"/>
        <w:rPr>
          <w:lang w:val="en-CA"/>
        </w:rPr>
      </w:pPr>
      <w:r>
        <w:rPr>
          <w:lang w:val="en-CA"/>
        </w:rPr>
        <w:t>In addition to USERRA’s specific protections from discharge without cause, the Act provides protection from discrimination and retaliation because of past, current, or future military obligations.  38 U.S.C. § 4311(a).  Employers are also prohibited from retaliating against individuals who file complaints under the Act, who testify, assist, or otherwise participate in investigations or proceedings under the Act, or who exercise any right provided under the Act.  38 U.S.C. § 4311(c).  USERRA also protects witnesses, even if they themselves have not performed military service.</w:t>
      </w:r>
    </w:p>
    <w:p>
      <w:pPr>
        <w:pStyle w:val="BodyText"/>
        <w:widowControl/>
        <w:spacing w:before="0" w:after="240"/>
        <w:rPr/>
      </w:pPr>
      <w:r>
        <w:rPr>
          <w:lang w:val="en-CA"/>
        </w:rPr>
        <w:t xml:space="preserve">If an employee’s past, present, or future military obligations are a motivating factor in an employer’s adverse employment action against that employee, the employer has violated the Act unless it can prove that it would have taken the same action regardless of the employee’s military obligations.  38 U.S.C. § 4311(b).  In </w:t>
      </w:r>
      <w:r>
        <w:rPr>
          <w:i/>
          <w:lang w:val="en-CA"/>
        </w:rPr>
        <w:t>Sheehan v. Department of Navy</w:t>
      </w:r>
      <w:r>
        <w:rPr>
          <w:lang w:val="en-CA"/>
        </w:rPr>
        <w:t xml:space="preserve">, 2001 U.S. App. LEXIS 1907 (Fed. Cir. 2001), the Court of Appeals for the Federal Circuit established a two-step process which allocates the burden of proof among the employee and the employer in a USERRA case.  The employee must first establish by a preponderance of the evidence that the employee’s military service was a substantial or motivating factor for the employer’s adverse employment action.  </w:t>
      </w:r>
      <w:r>
        <w:rPr>
          <w:i/>
          <w:lang w:val="en-CA"/>
        </w:rPr>
        <w:t>Id.</w:t>
      </w:r>
      <w:r>
        <w:rPr>
          <w:lang w:val="en-CA"/>
        </w:rPr>
        <w:t xml:space="preserve"> at *7.  If the employee meets this burden, the burden shifts to the employer to prove that the employer would have taken the adverse action anyway for a valid reason.  </w:t>
      </w:r>
      <w:r>
        <w:rPr>
          <w:i/>
          <w:lang w:val="en-CA"/>
        </w:rPr>
        <w:t>Id.</w:t>
      </w:r>
      <w:r>
        <w:rPr>
          <w:lang w:val="en-CA"/>
        </w:rPr>
        <w:t xml:space="preserve"> at * 8.  The Court noted that this is a different procedure than the </w:t>
      </w:r>
      <w:r>
        <w:rPr>
          <w:i/>
          <w:lang w:val="en-CA"/>
        </w:rPr>
        <w:t>McDonnell Douglas</w:t>
      </w:r>
      <w:r>
        <w:rPr>
          <w:lang w:val="en-CA"/>
        </w:rPr>
        <w:t xml:space="preserve"> order of proof used in a typical employment discrimination case where the burden of proof remains with the employee.  </w:t>
      </w:r>
      <w:r>
        <w:rPr>
          <w:i/>
          <w:lang w:val="en-CA"/>
        </w:rPr>
        <w:t>Id.</w:t>
      </w:r>
      <w:r>
        <w:rPr>
          <w:lang w:val="en-CA"/>
        </w:rPr>
        <w:t xml:space="preserve"> at * 11.  Thus, in order to avoid liability, an employer must prove that a reason other than military service would have been sufficient to justify its action.  38 U.S.C. § 4311(b).</w:t>
      </w:r>
    </w:p>
    <w:p>
      <w:pPr>
        <w:pStyle w:val="BodyText"/>
        <w:widowControl/>
        <w:spacing w:before="0" w:after="240"/>
        <w:rPr/>
      </w:pPr>
      <w:r>
        <w:rPr>
          <w:lang w:val="en-CA"/>
        </w:rPr>
        <w:t xml:space="preserve">Adverse employment actions are not limited to discharge.  Employers must ensure that employees on Military Leave are not denied any “benefits of employment.”  For example, in </w:t>
      </w:r>
      <w:r>
        <w:rPr>
          <w:i/>
          <w:lang w:val="en-CA"/>
        </w:rPr>
        <w:t>Allen v. United States Postal Service</w:t>
      </w:r>
      <w:r>
        <w:rPr>
          <w:lang w:val="en-CA"/>
        </w:rPr>
        <w:t xml:space="preserve">, 142 F.3d 1444 (Fed. Cir. 1998), an employee on military leave was not notified of a promotion that he would have been entitled to bid for if he was working at the time.  Instead, the promotion went to another employee with lesser seniority.  By not allowing the employee to bid for the promotion, the employer violated USERRA.  </w:t>
      </w:r>
      <w:r>
        <w:rPr>
          <w:i/>
          <w:lang w:val="en-CA"/>
        </w:rPr>
        <w:t xml:space="preserve">Id. </w:t>
      </w:r>
      <w:r>
        <w:rPr>
          <w:lang w:val="en-CA"/>
        </w:rPr>
        <w:t>at 1447.  Employers, therefore, must be careful to ensure that employees on military leave are not denied any “benefits of employment” such as the chance to bid on a job by virtue of their seniority.</w:t>
      </w:r>
    </w:p>
    <w:p>
      <w:pPr>
        <w:pStyle w:val="Heading3"/>
        <w:ind w:hanging="0" w:start="0"/>
        <w:rPr>
          <w:b w:val="false"/>
        </w:rPr>
      </w:pPr>
      <w:r>
        <w:rPr/>
        <w:t>§ 661  Enforcement and Remedies</w:t>
      </w:r>
    </w:p>
    <w:p>
      <w:pPr>
        <w:pStyle w:val="BodyText"/>
        <w:widowControl/>
        <w:spacing w:before="0" w:after="240"/>
        <w:rPr/>
      </w:pPr>
      <w:r>
        <w:rPr>
          <w:lang w:val="en-CA"/>
        </w:rPr>
        <w:t xml:space="preserve">Employers can be sued by the government or by employees under USERRA.  Unlike the previous statute, USERRA provides for the recovery of liquidated damages for a willful violation of the Act.  38 U.S.C. § 4323(d)(1)(C).  USERRA also provides aggrieved plaintiffs the right to a jury trial in federal court.  </w:t>
      </w:r>
      <w:r>
        <w:rPr>
          <w:i/>
          <w:lang w:val="en-CA"/>
        </w:rPr>
        <w:t>See Spratt v. Guardian Automotive Prod., Inc.</w:t>
      </w:r>
      <w:r>
        <w:rPr>
          <w:lang w:val="en-CA"/>
        </w:rPr>
        <w:t>, 997 F. Supp. 1138 (N.D. Ind. 1998).</w:t>
      </w:r>
    </w:p>
    <w:p>
      <w:pPr>
        <w:pStyle w:val="Heading2"/>
        <w:ind w:hanging="0" w:start="0"/>
        <w:rPr/>
      </w:pPr>
      <w:r>
        <w:rPr/>
        <w:t>C.  Civic Duty Leave</w:t>
      </w:r>
    </w:p>
    <w:p>
      <w:pPr>
        <w:pStyle w:val="Heading3"/>
        <w:ind w:hanging="0" w:start="0"/>
        <w:rPr>
          <w:b w:val="false"/>
        </w:rPr>
      </w:pPr>
      <w:r>
        <w:rPr/>
        <w:t>§ 662  Employers Obligated to Provide Leave</w:t>
      </w:r>
    </w:p>
    <w:p>
      <w:pPr>
        <w:pStyle w:val="BodyText"/>
        <w:widowControl/>
        <w:spacing w:before="0" w:after="240"/>
        <w:rPr>
          <w:lang w:val="en-CA"/>
        </w:rPr>
      </w:pPr>
      <w:r>
        <w:rPr>
          <w:lang w:val="en-CA"/>
        </w:rPr>
        <w:t>An employee who fulfills his or her civic duty by serving as a juror in federal court is protected by the Jury System Improvements Act.  28 U.S.C. § 1875.  Additionally, an employee’s attendance at administrative hearings is protected by several federal statutes, including Title VII of the Civil Rights Act, the Occupational Safety and Health Act, and the Fair Labor Standards Act.  42 U.S.C. § 2000e</w:t>
        <w:noBreakHyphen/>
        <w:t>3(a); 29 U.S.C. § 660(c); and 29 U.S.C. § 215(a)(3).  Consequently, both private and public employers are obligated to provide jury duty leaves and may be obligated to provide leave for employees to participate in administrative proceedings.</w:t>
      </w:r>
    </w:p>
    <w:p>
      <w:pPr>
        <w:pStyle w:val="BodyText"/>
        <w:widowControl/>
        <w:spacing w:before="0" w:after="240"/>
        <w:rPr/>
      </w:pPr>
      <w:r>
        <w:rPr>
          <w:lang w:val="en-CA"/>
        </w:rPr>
        <w:t xml:space="preserve">In addition, every state has some type of jury duty or witness duty leave statute.  For example, the Texas jury duty statute provides for criminal penalties and civil damages if an employer terminates an employee who serves as a juror.  Tex. Civ. Prac. &amp; Rem. Code §§ 122.002, 122.0021.  In addition, an employer may be held in contempt if it “terminates, threatens to terminate, penalizes, or threatens to penalize” an employee who serves on jury duty.  </w:t>
      </w:r>
      <w:r>
        <w:rPr>
          <w:i/>
          <w:lang w:val="en-CA"/>
        </w:rPr>
        <w:t>Id.</w:t>
      </w:r>
      <w:r>
        <w:rPr>
          <w:lang w:val="en-CA"/>
        </w:rPr>
        <w:t xml:space="preserve"> § 122.0022.  Some states, such as Alabama, Alabama Code section 12-16-8, Colorado, Colorado Revised Statutes section 13-71-126, and New York, New York Judiciary Law section 519, require that employers pay for jury duty leave.  In order to comply fully with both federal and state law dealing with jury duty leave, employers should contact legal counsel.</w:t>
      </w:r>
    </w:p>
    <w:p>
      <w:pPr>
        <w:pStyle w:val="Heading3"/>
        <w:ind w:hanging="0" w:start="0"/>
        <w:rPr>
          <w:b w:val="false"/>
        </w:rPr>
      </w:pPr>
      <w:r>
        <w:rPr/>
        <w:t>§ 663  Employees Who Qualify to Take Leave</w:t>
      </w:r>
    </w:p>
    <w:p>
      <w:pPr>
        <w:pStyle w:val="BodyText"/>
        <w:widowControl/>
        <w:spacing w:before="0" w:after="240"/>
        <w:rPr/>
      </w:pPr>
      <w:r>
        <w:rPr>
          <w:lang w:val="en-CA"/>
        </w:rPr>
        <w:t xml:space="preserve">The Jury System Improvements Act, 28 U.S.C. § 1875, prohibits employers from terminating or disciplining “permanent” employees due to their jury service in federal court.  </w:t>
      </w:r>
      <w:r>
        <w:rPr>
          <w:i/>
          <w:lang w:val="en-CA"/>
        </w:rPr>
        <w:t>See</w:t>
      </w:r>
      <w:r>
        <w:rPr>
          <w:lang w:val="en-CA"/>
        </w:rPr>
        <w:t xml:space="preserve"> </w:t>
      </w:r>
      <w:r>
        <w:rPr>
          <w:i/>
          <w:lang w:val="en-CA"/>
        </w:rPr>
        <w:t>Hill v. Winn-Dixie Stores, Inc.</w:t>
      </w:r>
      <w:r>
        <w:rPr>
          <w:lang w:val="en-CA"/>
        </w:rPr>
        <w:t xml:space="preserve">, 934 F.2d 1518 (11th Cir. 1991) (plaintiff constructively discharged from job when employer retaliated for plaintiff having jury duty; superseded by statute on other grounds); </w:t>
      </w:r>
      <w:r>
        <w:rPr>
          <w:i/>
          <w:lang w:val="en-CA"/>
        </w:rPr>
        <w:t>In re Webb</w:t>
      </w:r>
      <w:r>
        <w:rPr>
          <w:lang w:val="en-CA"/>
        </w:rPr>
        <w:t xml:space="preserve">, 586 F. Supp. 1480 (N.D. Ohio 1984).  Although Congress did not define which employees are considered to be </w:t>
      </w:r>
      <w:r>
        <w:rPr>
          <w:i/>
          <w:lang w:val="en-CA"/>
        </w:rPr>
        <w:t>permanent</w:t>
      </w:r>
      <w:r>
        <w:rPr>
          <w:lang w:val="en-CA"/>
        </w:rPr>
        <w:t xml:space="preserve">, it is likely that full-time and part-time regular employees would fit under this classification, and that temporary and probationary employees would be excluded.  Because the definition of a </w:t>
      </w:r>
      <w:r>
        <w:rPr>
          <w:i/>
          <w:lang w:val="en-CA"/>
        </w:rPr>
        <w:t>permanent</w:t>
      </w:r>
      <w:r>
        <w:rPr>
          <w:lang w:val="en-CA"/>
        </w:rPr>
        <w:t xml:space="preserve"> employee under federal law is uncertain, a prudent employer should be careful not to infringe upon </w:t>
      </w:r>
      <w:r>
        <w:rPr>
          <w:i/>
          <w:lang w:val="en-CA"/>
        </w:rPr>
        <w:t>any</w:t>
      </w:r>
      <w:r>
        <w:rPr>
          <w:lang w:val="en-CA"/>
        </w:rPr>
        <w:t xml:space="preserve"> employee’s potential rights to jury duty leave without first consulting legal counsel.</w:t>
      </w:r>
    </w:p>
    <w:p>
      <w:pPr>
        <w:pStyle w:val="BodyText"/>
        <w:widowControl/>
        <w:spacing w:before="0" w:after="240"/>
        <w:rPr>
          <w:lang w:val="en-CA"/>
        </w:rPr>
      </w:pPr>
      <w:r>
        <w:rPr>
          <w:lang w:val="en-CA"/>
        </w:rPr>
        <w:t>An employer may also be required to grant leave to employees who are summoned to testify, to assist, or to participate in hearings conducted by federal and state administrative agencies.  The obligation to allow leave to attend administrative hearings can be found in a variety of federal statutes, including:</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The Occupational Safety and Health Act (29 U.S.C. § 660(c));</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The Fair Labor Standards Act (29 U.S.C. § 215(a)(3));</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Title VII of the Civil Rights Act of 1964 (42 U.S.C. § 2000e</w:t>
        <w:noBreakHyphen/>
        <w:t>3(a));</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The Age Discrimination In Employment Act (29 U.S.C. § 623(d));</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The Energy Reorganization Act (42 U.S.C. § 5851(a));</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The Atomic Energy Act (42 U.S.C. § 5851(a));</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The Clean Air Act (42 U.S.C. § 7622(a)); and</w:t>
      </w:r>
    </w:p>
    <w:p>
      <w:pPr>
        <w:pStyle w:val="Bullet"/>
        <w:widowControl/>
        <w:tabs>
          <w:tab w:val="left" w:pos="360" w:leader="none"/>
          <w:tab w:val="left" w:pos="720" w:leader="none"/>
        </w:tabs>
        <w:spacing w:before="0" w:after="240"/>
        <w:rPr>
          <w:lang w:val="en-CA"/>
        </w:rPr>
      </w:pPr>
      <w:r>
        <w:rPr>
          <w:rStyle w:val="BulletSmall"/>
          <w:lang w:val="en-CA"/>
        </w:rPr>
        <w:t xml:space="preserve">• </w:t>
      </w:r>
      <w:r>
        <w:rPr>
          <w:rStyle w:val="BulletSmall"/>
          <w:lang w:val="en-CA"/>
        </w:rPr>
        <w:tab/>
      </w:r>
      <w:r>
        <w:rPr>
          <w:rStyle w:val="BulletSmall"/>
          <w:b w:val="false"/>
          <w:sz w:val="22"/>
          <w:lang w:val="en-CA"/>
        </w:rPr>
        <w:t>The Water Pollution Control Act (33 U.S.C. § 1367(a)).</w:t>
      </w:r>
    </w:p>
    <w:p>
      <w:pPr>
        <w:pStyle w:val="BodyText"/>
        <w:widowControl/>
        <w:spacing w:before="0" w:after="240"/>
        <w:rPr>
          <w:lang w:val="en-CA"/>
        </w:rPr>
      </w:pPr>
      <w:r>
        <w:rPr>
          <w:lang w:val="en-CA"/>
        </w:rPr>
        <w:t xml:space="preserve">Employees also have certain entitlements to attend National Labor Relations Board (NLRB) hearings.  While an employer is not required to provide leave so that an employee may serve as a spectator at a hearing or in a “rooting section” for other employees who participate in NLRB hearings, employers are required to provide unpaid leave to an employee who is a charging party in an NLRB hearing and to an employee who has a “real need to attend” such a hearing.  </w:t>
      </w:r>
      <w:r>
        <w:rPr>
          <w:i/>
          <w:lang w:val="en-CA"/>
        </w:rPr>
        <w:t>See</w:t>
      </w:r>
      <w:r>
        <w:rPr>
          <w:lang w:val="en-CA"/>
        </w:rPr>
        <w:t xml:space="preserve">, </w:t>
      </w:r>
      <w:r>
        <w:rPr>
          <w:i/>
          <w:lang w:val="en-CA"/>
        </w:rPr>
        <w:t>e.g.</w:t>
      </w:r>
      <w:r>
        <w:rPr>
          <w:lang w:val="en-CA"/>
        </w:rPr>
        <w:t xml:space="preserve">, </w:t>
      </w:r>
      <w:r>
        <w:rPr>
          <w:i/>
          <w:lang w:val="en-CA"/>
        </w:rPr>
        <w:t>Ohmite Mfg. Co.</w:t>
      </w:r>
      <w:r>
        <w:rPr>
          <w:lang w:val="en-CA"/>
        </w:rPr>
        <w:t xml:space="preserve">, 290 N.L.R.B. 1036, 1038 (1988).  The NLRB has interpreted the term “real need” narrowly and, thus far, only a subpoena or some other documented evidence of the NLRB demand for that specific employee to attend a hearing has sufficed to show “real need.”  </w:t>
      </w:r>
      <w:r>
        <w:rPr>
          <w:i/>
          <w:lang w:val="en-CA"/>
        </w:rPr>
        <w:t>Id.</w:t>
      </w:r>
    </w:p>
    <w:p>
      <w:pPr>
        <w:pStyle w:val="Heading3"/>
        <w:ind w:hanging="0" w:start="0"/>
        <w:rPr>
          <w:b w:val="false"/>
        </w:rPr>
      </w:pPr>
      <w:r>
        <w:rPr/>
        <w:t>§ 664  Verification Requirements &amp; Options</w:t>
      </w:r>
    </w:p>
    <w:p>
      <w:pPr>
        <w:pStyle w:val="BodyText"/>
        <w:widowControl/>
        <w:spacing w:before="0" w:after="240"/>
        <w:rPr/>
      </w:pPr>
      <w:r>
        <w:rPr>
          <w:lang w:val="en-CA"/>
        </w:rPr>
        <w:t xml:space="preserve">Employers may verify that an employee’s request for civic duty is legally required by demanding a copy of the summons or the subpoena.  If such documentation is not available, as in the case of some agency proceedings, the employer may require other written documentation from the court or agency summoning the employee.  Additionally, an employer can require that an employee provide advance notice of the need for jury duty leave, provided that the advance notice requirements are reasonable and not used as a pretext for termination based on an employee’s jury duty obligation.  </w:t>
      </w:r>
      <w:r>
        <w:rPr>
          <w:i/>
          <w:lang w:val="en-CA"/>
        </w:rPr>
        <w:t>See</w:t>
      </w:r>
      <w:r>
        <w:rPr>
          <w:lang w:val="en-CA"/>
        </w:rPr>
        <w:t xml:space="preserve"> </w:t>
      </w:r>
      <w:r>
        <w:rPr>
          <w:i/>
          <w:lang w:val="en-CA"/>
        </w:rPr>
        <w:t>In re Scott</w:t>
      </w:r>
      <w:r>
        <w:rPr>
          <w:lang w:val="en-CA"/>
        </w:rPr>
        <w:t>, 155 F.R.D. 10 (D. Mass. 1994).</w:t>
      </w:r>
    </w:p>
    <w:p>
      <w:pPr>
        <w:pStyle w:val="Heading3"/>
        <w:ind w:hanging="0" w:start="0"/>
        <w:rPr>
          <w:b w:val="false"/>
        </w:rPr>
      </w:pPr>
      <w:r>
        <w:rPr/>
        <w:t>§ 665  Duration &amp; Timing of Leaves</w:t>
      </w:r>
    </w:p>
    <w:p>
      <w:pPr>
        <w:pStyle w:val="BodyText"/>
        <w:widowControl/>
        <w:spacing w:before="0" w:after="240"/>
        <w:rPr>
          <w:lang w:val="en-CA"/>
        </w:rPr>
      </w:pPr>
      <w:r>
        <w:rPr>
          <w:lang w:val="en-CA"/>
        </w:rPr>
        <w:t>The timing of jury duty or attendance at administrative hearings is governed by the schedule of the proceeding at which the employee must serve.  Federal law does not limit the amount of protected leave that an employee may receive and protection will consequently continue for the duration of the employee’s service at the proceedings.</w:t>
      </w:r>
    </w:p>
    <w:p>
      <w:pPr>
        <w:pStyle w:val="BodyText"/>
        <w:widowControl/>
        <w:spacing w:before="0" w:after="240"/>
        <w:rPr>
          <w:lang w:val="en-CA"/>
        </w:rPr>
      </w:pPr>
      <w:r>
        <w:rPr>
          <w:lang w:val="en-CA"/>
        </w:rPr>
        <w:t>An employer can require an employee to make reasonable efforts to minimize the amount of time which the employee spends away from work.  For example, while an employer is not required to provide paid leave, an employer may condition the provision of paid leave on an employee making reasonable efforts to utilize the telephone standby system used by some courts.  Under such a system, an employee remains at work, but may be summoned by the court at any time by telephone to appear when needed.  However, to avoid discrimination claims under the Jury System Improvements Act, an employer must take care not to be more stringent in requiring employees to minimize their time away from work for civic duty purposes than the employer is with respect to requiring employees to minimize time away from work for other reasons.</w:t>
      </w:r>
    </w:p>
    <w:p>
      <w:pPr>
        <w:pStyle w:val="Heading3"/>
        <w:ind w:hanging="0" w:start="0"/>
        <w:rPr>
          <w:b w:val="false"/>
        </w:rPr>
      </w:pPr>
      <w:r>
        <w:rPr/>
        <w:t>§ 666  Reinstatement Obligations</w:t>
      </w:r>
    </w:p>
    <w:p>
      <w:pPr>
        <w:pStyle w:val="BodyText"/>
        <w:widowControl/>
        <w:spacing w:before="0" w:after="240"/>
        <w:rPr>
          <w:lang w:val="en-CA"/>
        </w:rPr>
      </w:pPr>
      <w:r>
        <w:rPr>
          <w:lang w:val="en-CA"/>
        </w:rPr>
        <w:t>Upon completion of jury duty, an employee is entitled to reinstatement.  28 U.S.C. § 1875(b)(2).  Because discharge and discrimination for participation at a variety of administrative hearings is prohibited, employers are advised to consider reinstatement after attendance at such hearings mandatory as well.</w:t>
      </w:r>
    </w:p>
    <w:p>
      <w:pPr>
        <w:pStyle w:val="Heading3"/>
        <w:ind w:hanging="0" w:start="0"/>
        <w:rPr>
          <w:b w:val="false"/>
        </w:rPr>
      </w:pPr>
      <w:r>
        <w:rPr/>
        <w:t>§ 667  Impact of Collective Bargaining Obligations</w:t>
      </w:r>
    </w:p>
    <w:p>
      <w:pPr>
        <w:pStyle w:val="BodyText"/>
        <w:widowControl/>
        <w:spacing w:before="0" w:after="240"/>
        <w:rPr/>
      </w:pPr>
      <w:r>
        <w:rPr>
          <w:lang w:val="en-CA"/>
        </w:rPr>
        <w:t xml:space="preserve">Employers with union-represented employees must consider the impact of the National Labor Relations Act (NLRA) and any collective bargaining agreement on the employer’s obligation to provide leave.  For example, employers must notify the union and offer the opportunity to bargain before modifying any jury duty leave practice.  </w:t>
      </w:r>
      <w:r>
        <w:rPr>
          <w:i/>
          <w:lang w:val="en-CA"/>
        </w:rPr>
        <w:t>See</w:t>
      </w:r>
      <w:r>
        <w:rPr>
          <w:lang w:val="en-CA"/>
        </w:rPr>
        <w:t xml:space="preserve"> </w:t>
      </w:r>
      <w:r>
        <w:rPr>
          <w:i/>
          <w:lang w:val="en-CA"/>
        </w:rPr>
        <w:t>Merrill &amp; Ring, Inc.</w:t>
      </w:r>
      <w:r>
        <w:rPr>
          <w:lang w:val="en-CA"/>
        </w:rPr>
        <w:t xml:space="preserve">, 262 N.L.R.B. 392, 394 (1982), </w:t>
      </w:r>
      <w:r>
        <w:rPr>
          <w:i/>
          <w:lang w:val="en-CA"/>
        </w:rPr>
        <w:t>enforced</w:t>
      </w:r>
      <w:r>
        <w:rPr>
          <w:lang w:val="en-CA"/>
        </w:rPr>
        <w:t>, 731 F.2d 605 (9th Cir. 1984) (employer violated NLRA by requiring unilaterally that employees on jury duty leave report to work on mornings before they were to report to jury duty).  Because leaves for attendance at administrative hearings, including NLRB hearings, are likely to affect terms and conditions of employment in a similar fashion, such leaves should also be considered mandatory subjects of bargaining.  Finally, please note that a collective bargaining agreement cannot waive an employee’s statutory right to civic duty leave.</w:t>
      </w:r>
    </w:p>
    <w:p>
      <w:pPr>
        <w:pStyle w:val="Heading3"/>
        <w:ind w:hanging="0" w:start="0"/>
        <w:rPr>
          <w:b w:val="false"/>
        </w:rPr>
      </w:pPr>
      <w:r>
        <w:rPr/>
        <w:t>§ 668  Compensation during Leave</w:t>
      </w:r>
    </w:p>
    <w:p>
      <w:pPr>
        <w:pStyle w:val="BodyText"/>
        <w:widowControl/>
        <w:spacing w:before="0" w:after="240"/>
        <w:rPr>
          <w:lang w:val="en-CA"/>
        </w:rPr>
      </w:pPr>
      <w:r>
        <w:rPr>
          <w:lang w:val="en-CA"/>
        </w:rPr>
        <w:t>Jurors in both state and federal court are paid a nominal daily fee.  Employers, however, are under no federal statutory obligation to pay employees while serving on a jury or participating in an administrative hearing.  Some states, however, such as New York, require supplemental employer contributions.  Employers are advised to consult legal counsel to ascertain whether any state laws apply.</w:t>
      </w:r>
    </w:p>
    <w:p>
      <w:pPr>
        <w:pStyle w:val="BodyText"/>
        <w:widowControl/>
        <w:spacing w:before="0" w:after="240"/>
        <w:rPr/>
      </w:pPr>
      <w:r>
        <w:rPr>
          <w:lang w:val="en-CA"/>
        </w:rPr>
        <w:t xml:space="preserve">Employers that elect to compensate employees for civic duty leave must be cautious to distinguish between compensation for nonexempt and exempt salaried employees for overtime purposes.  An employer cannot reduce the weekly salary of overtime-exempt employees who are absent for </w:t>
      </w:r>
      <w:r>
        <w:rPr>
          <w:i/>
          <w:lang w:val="en-CA"/>
        </w:rPr>
        <w:t>part</w:t>
      </w:r>
      <w:r>
        <w:rPr>
          <w:lang w:val="en-CA"/>
        </w:rPr>
        <w:t xml:space="preserve"> of a week due to jury duty or participation in an administrative hearing.  29 C.F.R. § 541.118(a)(4).  On the other hand, an employer need not pay an employee his or her salary if the employee is absent for a </w:t>
      </w:r>
      <w:r>
        <w:rPr>
          <w:i/>
          <w:lang w:val="en-CA"/>
        </w:rPr>
        <w:t>complete workweek</w:t>
      </w:r>
      <w:r>
        <w:rPr>
          <w:lang w:val="en-CA"/>
        </w:rPr>
        <w:t xml:space="preserve"> due to jury duty or participation in an administrative hearing.  Any jury duty fees paid by the court may be set off from the employee’s regular compensation.</w:t>
      </w:r>
    </w:p>
    <w:p>
      <w:pPr>
        <w:pStyle w:val="BodyText"/>
        <w:widowControl/>
        <w:spacing w:before="0" w:after="240"/>
        <w:rPr>
          <w:lang w:val="en-CA"/>
        </w:rPr>
      </w:pPr>
      <w:r>
        <w:rPr>
          <w:lang w:val="en-CA"/>
        </w:rPr>
        <w:t>When any paid leave for the specific purpose of jury duty is exhausted, an employee should be allowed to draw on vacation pay or other paid personal leave if the request is made consistent with the terms of the employer’s other leave policies.  A failure to grant other paid leave benefits after a timely request and without a legitimate excuse may constitute discrimination in violation of 28 U.S.C. § 1875.</w:t>
      </w:r>
    </w:p>
    <w:p>
      <w:pPr>
        <w:pStyle w:val="Heading3"/>
        <w:ind w:hanging="0" w:start="0"/>
        <w:rPr>
          <w:b w:val="false"/>
        </w:rPr>
      </w:pPr>
      <w:r>
        <w:rPr/>
        <w:t>§ 669  Benefit Implications of Leave</w:t>
      </w:r>
    </w:p>
    <w:p>
      <w:pPr>
        <w:pStyle w:val="BodyText"/>
        <w:widowControl/>
        <w:spacing w:before="0" w:after="240"/>
        <w:rPr>
          <w:lang w:val="en-CA"/>
        </w:rPr>
      </w:pPr>
      <w:r>
        <w:rPr>
          <w:lang w:val="en-CA"/>
        </w:rPr>
        <w:t>Questions about an employee’s continued eligibility for employment-related benefits may arise when jury duty or required attendance at an administrative hearing is especially lengthy.  To ensure consistent treatment, an employer should only discontinue benefits for employees on civic duty leave if the employer does so for other types of leave.  Eligibility requirements should be clearly specified and consistently applied.  An employee who becomes ineligible for health benefits may be entitled to pay the premiums which are necessary to continue receiving benefits under the Consolidated Omnibus Budget Reconciliation Act of 1985 (COBRA).</w:t>
      </w:r>
    </w:p>
    <w:p>
      <w:pPr>
        <w:pStyle w:val="Heading3"/>
        <w:ind w:hanging="0" w:start="0"/>
        <w:rPr>
          <w:b w:val="false"/>
        </w:rPr>
      </w:pPr>
      <w:r>
        <w:rPr/>
        <w:t>§ 670  Protection of Employees against Discharge or Discrimination</w:t>
      </w:r>
    </w:p>
    <w:p>
      <w:pPr>
        <w:pStyle w:val="BodyText"/>
        <w:widowControl/>
        <w:spacing w:before="0" w:after="240"/>
        <w:rPr/>
      </w:pPr>
      <w:r>
        <w:rPr>
          <w:lang w:val="en-CA"/>
        </w:rPr>
        <w:t xml:space="preserve">Under the Jury System Improvements Act, an employer who discharges, threatens to discharge, intimidates, or coerces any employee because of his or her federal jury service will be liable for lost wages and benefits, a civil penalty of up to one thousand dollars per violation, and may be enjoined and ordered to provide other appropriate relief.  28 U.S.C. § 1875.  Upon a showing that such a claim has probable merit, the court will also appoint counsel for the employee.  28 U.S.C. § 1875(d)(1).  If the employer is found to have violated section 1875, the employer will be liable for attorney’s fees and costs.  28 U.S.C. § 1875(d)(2).  Similarly, a prevailing employer may be able to recover attorney’s fees from any employee who brings frivolous or bad faith claims under section 1875.  A court, however, will not award attorney’s fees to either party if the case settles and is dismissed “without costs.”  </w:t>
      </w:r>
      <w:r>
        <w:rPr>
          <w:i/>
          <w:lang w:val="en-CA"/>
        </w:rPr>
        <w:t>Elfast v. BTI Americas, Inc.</w:t>
      </w:r>
      <w:r>
        <w:rPr>
          <w:lang w:val="en-CA"/>
        </w:rPr>
        <w:t>, 961 F. Supp. 69 (S.D.N.Y. 1997).</w:t>
      </w:r>
    </w:p>
    <w:sectPr>
      <w:type w:val="continuous"/>
      <w:pgSz w:w="12240" w:h="15840"/>
      <w:pgMar w:left="1440" w:right="1440" w:gutter="0" w:header="0" w:top="1440" w:footer="0"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Monotype Sorts">
    <w:charset w:val="02"/>
    <w:family w:val="auto"/>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Book Antiqua" w:hAnsi="Book Antiqua" w:eastAsia="Times New Roman" w:cs="Book Antiqua"/>
      <w:color w:val="auto"/>
      <w:sz w:val="24"/>
      <w:szCs w:val="20"/>
      <w:lang w:val="en-US" w:eastAsia="en-US" w:bidi="hi-IN"/>
    </w:rPr>
  </w:style>
  <w:style w:type="paragraph" w:styleId="Heading1">
    <w:name w:val="heading 1"/>
    <w:basedOn w:val="Normal"/>
    <w:next w:val="BodyText"/>
    <w:qFormat/>
    <w:pPr>
      <w:numPr>
        <w:ilvl w:val="0"/>
        <w:numId w:val="1"/>
      </w:numPr>
      <w:jc w:val="end"/>
      <w:outlineLvl w:val="0"/>
    </w:pPr>
    <w:rPr>
      <w:caps/>
      <w:color w:val="000000"/>
      <w:sz w:val="48"/>
    </w:rPr>
  </w:style>
  <w:style w:type="paragraph" w:styleId="Heading2">
    <w:name w:val="heading 2"/>
    <w:basedOn w:val="Normal"/>
    <w:next w:val="BodyText"/>
    <w:qFormat/>
    <w:pPr>
      <w:keepNext w:val="true"/>
      <w:keepLines/>
      <w:widowControl/>
      <w:numPr>
        <w:ilvl w:val="1"/>
        <w:numId w:val="1"/>
      </w:numPr>
      <w:spacing w:before="480" w:after="240"/>
      <w:outlineLvl w:val="1"/>
    </w:pPr>
    <w:rPr>
      <w:b/>
      <w:smallCaps/>
      <w:color w:val="000000"/>
      <w:sz w:val="32"/>
      <w:lang w:val="en-CA"/>
    </w:rPr>
  </w:style>
  <w:style w:type="paragraph" w:styleId="Heading3">
    <w:name w:val="heading 3"/>
    <w:basedOn w:val="Normal"/>
    <w:next w:val="BodyText"/>
    <w:qFormat/>
    <w:pPr>
      <w:keepNext w:val="true"/>
      <w:keepLines/>
      <w:widowControl/>
      <w:numPr>
        <w:ilvl w:val="2"/>
        <w:numId w:val="1"/>
      </w:numPr>
      <w:spacing w:before="260" w:after="240"/>
      <w:outlineLvl w:val="2"/>
    </w:pPr>
    <w:rPr>
      <w:b/>
      <w:color w:val="000000"/>
      <w:sz w:val="22"/>
      <w:lang w:val="en-CA"/>
    </w:rPr>
  </w:style>
  <w:style w:type="paragraph" w:styleId="Heading4">
    <w:name w:val="heading 4"/>
    <w:basedOn w:val="Normal"/>
    <w:next w:val="BodyText"/>
    <w:qFormat/>
    <w:pPr>
      <w:keepNext w:val="true"/>
      <w:keepLines/>
      <w:widowControl/>
      <w:numPr>
        <w:ilvl w:val="3"/>
        <w:numId w:val="1"/>
      </w:numPr>
      <w:spacing w:before="160" w:after="240"/>
      <w:outlineLvl w:val="3"/>
    </w:pPr>
    <w:rPr>
      <w:b/>
      <w:color w:val="000000"/>
      <w:sz w:val="22"/>
      <w:lang w:val="en-CA"/>
    </w:rPr>
  </w:style>
  <w:style w:type="paragraph" w:styleId="Heading5">
    <w:name w:val="heading 5"/>
    <w:basedOn w:val="Normal"/>
    <w:next w:val="BodyText"/>
    <w:qFormat/>
    <w:pPr>
      <w:numPr>
        <w:ilvl w:val="4"/>
        <w:numId w:val="1"/>
      </w:numPr>
      <w:tabs>
        <w:tab w:val="clear" w:pos="720"/>
        <w:tab w:val="left" w:pos="1440" w:leader="none"/>
      </w:tabs>
      <w:ind w:hanging="0" w:start="1440" w:end="360"/>
      <w:outlineLvl w:val="4"/>
    </w:pPr>
    <w:rPr>
      <w:b/>
      <w:i/>
      <w:color w:val="000000"/>
      <w:sz w:val="22"/>
    </w:rPr>
  </w:style>
  <w:style w:type="paragraph" w:styleId="Heading6">
    <w:name w:val="heading 6"/>
    <w:basedOn w:val="Normal"/>
    <w:next w:val="BodyText"/>
    <w:qFormat/>
    <w:pPr>
      <w:numPr>
        <w:ilvl w:val="5"/>
        <w:numId w:val="1"/>
      </w:numPr>
      <w:tabs>
        <w:tab w:val="left" w:pos="720" w:leader="none"/>
      </w:tabs>
      <w:ind w:hanging="0" w:start="720" w:end="0"/>
      <w:outlineLvl w:val="5"/>
    </w:pPr>
    <w:rPr>
      <w:b/>
      <w:i/>
      <w:color w:val="000000"/>
      <w:sz w:val="22"/>
    </w:rPr>
  </w:style>
  <w:style w:type="character" w:styleId="DefaultParagraphFont">
    <w:name w:val="Default Paragraph Font"/>
    <w:qFormat/>
    <w:rPr/>
  </w:style>
  <w:style w:type="character" w:styleId="11pt">
    <w:name w:val="11pt"/>
    <w:qFormat/>
    <w:rPr>
      <w:b/>
      <w:color w:val="000000"/>
      <w:sz w:val="22"/>
    </w:rPr>
  </w:style>
  <w:style w:type="character" w:styleId="2000Employer">
    <w:name w:val="2000Employer"/>
    <w:qFormat/>
    <w:rPr>
      <w:smallCaps/>
      <w:color w:val="000000"/>
      <w:sz w:val="18"/>
    </w:rPr>
  </w:style>
  <w:style w:type="character" w:styleId="Box">
    <w:name w:val="Box"/>
    <w:qFormat/>
    <w:rPr>
      <w:rFonts w:ascii="Monotype Sorts" w:hAnsi="Monotype Sorts" w:cs="Monotype Sorts"/>
      <w:color w:val="000000"/>
      <w:sz w:val="28"/>
    </w:rPr>
  </w:style>
  <w:style w:type="character" w:styleId="BulletCheckBox1">
    <w:name w:val="BulletCheckBox1"/>
    <w:qFormat/>
    <w:rPr>
      <w:rFonts w:ascii="Symbol" w:hAnsi="Symbol" w:cs="Symbol"/>
      <w:sz w:val="28"/>
    </w:rPr>
  </w:style>
  <w:style w:type="character" w:styleId="BulletLarge">
    <w:name w:val="BulletLarge"/>
    <w:qFormat/>
    <w:rPr>
      <w:rFonts w:ascii="Times New Roman" w:hAnsi="Times New Roman" w:cs="Times New Roman"/>
      <w:b/>
      <w:color w:val="000000"/>
      <w:sz w:val="36"/>
    </w:rPr>
  </w:style>
  <w:style w:type="character" w:styleId="BulletSmall">
    <w:name w:val="BulletSmall"/>
    <w:qFormat/>
    <w:rPr>
      <w:rFonts w:ascii="Times New Roman" w:hAnsi="Times New Roman" w:cs="Times New Roman"/>
      <w:b/>
      <w:color w:val="000000"/>
      <w:sz w:val="28"/>
    </w:rPr>
  </w:style>
  <w:style w:type="character" w:styleId="Chapter">
    <w:name w:val="Chapter"/>
    <w:qFormat/>
    <w:rPr>
      <w:b/>
      <w:smallCaps/>
      <w:color w:val="000000"/>
      <w:sz w:val="38"/>
    </w:rPr>
  </w:style>
  <w:style w:type="character" w:styleId="Default">
    <w:name w:val="Default"/>
    <w:qFormat/>
    <w:rPr>
      <w:rFonts w:ascii="Times New Roman" w:hAnsi="Times New Roman" w:cs="Times New Roman"/>
      <w:b/>
      <w:color w:val="000000"/>
      <w:sz w:val="22"/>
    </w:rPr>
  </w:style>
  <w:style w:type="character" w:styleId="DefaultParaFont">
    <w:name w:val="DefaultParaFont"/>
    <w:qFormat/>
    <w:rPr>
      <w:rFonts w:ascii="Times New Roman" w:hAnsi="Times New Roman" w:cs="Times New Roman"/>
      <w:color w:val="000000"/>
      <w:sz w:val="22"/>
    </w:rPr>
  </w:style>
  <w:style w:type="character" w:styleId="Emphasis">
    <w:name w:val="Emphasis"/>
    <w:basedOn w:val="DefaultParagraphFont"/>
    <w:qFormat/>
    <w:rPr>
      <w:i/>
    </w:rPr>
  </w:style>
  <w:style w:type="character" w:styleId="EquationVariables">
    <w:name w:val="EquationVariables"/>
    <w:qFormat/>
    <w:rPr>
      <w:i/>
    </w:rPr>
  </w:style>
  <w:style w:type="character" w:styleId="FirstLetterEmphasis">
    <w:name w:val="FirstLetterEmphasis"/>
    <w:qFormat/>
    <w:rPr>
      <w:rFonts w:ascii="Garamond" w:hAnsi="Garamond" w:cs="Garamond"/>
      <w:smallCaps/>
      <w:color w:val="000000"/>
      <w:sz w:val="72"/>
    </w:rPr>
  </w:style>
  <w:style w:type="character" w:styleId="HalfInchBullet">
    <w:name w:val="HalfInchBullet"/>
    <w:qFormat/>
    <w:rPr>
      <w:rFonts w:ascii="Times New Roman" w:hAnsi="Times New Roman" w:cs="Times New Roman"/>
      <w:b/>
      <w:color w:val="000000"/>
      <w:sz w:val="36"/>
    </w:rPr>
  </w:style>
  <w:style w:type="character" w:styleId="InchBullet">
    <w:name w:val="InchBullet"/>
    <w:qFormat/>
    <w:rPr>
      <w:rFonts w:ascii="Times New Roman" w:hAnsi="Times New Roman" w:cs="Times New Roman"/>
      <w:b/>
      <w:color w:val="000000"/>
      <w:sz w:val="28"/>
    </w:rPr>
  </w:style>
  <w:style w:type="character" w:styleId="RegisteredSymbol">
    <w:name w:val="RegisteredSymbol"/>
    <w:qFormat/>
    <w:rPr>
      <w:b/>
      <w:color w:val="000000"/>
      <w:sz w:val="22"/>
    </w:rPr>
  </w:style>
  <w:style w:type="character" w:styleId="SmallCaps">
    <w:name w:val="SmallCaps"/>
    <w:qFormat/>
    <w:rPr>
      <w:b/>
      <w:smallCaps/>
      <w:color w:val="000000"/>
      <w:sz w:val="20"/>
    </w:rPr>
  </w:style>
  <w:style w:type="paragraph" w:styleId="Heading">
    <w:name w:val="Heading"/>
    <w:basedOn w:val="Normal"/>
    <w:next w:val="BodyText"/>
    <w:qFormat/>
    <w:pPr>
      <w:spacing w:lineRule="atLeast" w:line="360"/>
      <w:jc w:val="center"/>
    </w:pPr>
    <w:rPr>
      <w:rFonts w:ascii="Times New Roman" w:hAnsi="Times New Roman" w:cs="Times New Roman"/>
      <w:b/>
      <w:color w:val="000000"/>
      <w:sz w:val="36"/>
    </w:rPr>
  </w:style>
  <w:style w:type="paragraph" w:styleId="BodyText">
    <w:name w:val="Body Text"/>
    <w:basedOn w:val="Normal"/>
    <w:pPr>
      <w:jc w:val="both"/>
    </w:pPr>
    <w:rPr>
      <w:rFonts w:ascii="Times New Roman" w:hAnsi="Times New Roman" w:cs="Times New Roman"/>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next w:val="BodyText"/>
    <w:pPr>
      <w:tabs>
        <w:tab w:val="clear" w:pos="720"/>
        <w:tab w:val="left" w:pos="0" w:leader="none"/>
      </w:tabs>
      <w:ind w:hanging="1440" w:start="0" w:end="1440"/>
      <w:jc w:val="center"/>
    </w:pPr>
    <w:rPr>
      <w:b/>
      <w:smallCaps/>
      <w:color w:val="000000"/>
      <w:sz w:val="32"/>
    </w:rPr>
  </w:style>
  <w:style w:type="paragraph" w:styleId="AppendixHeading">
    <w:name w:val="Appendix Heading"/>
    <w:basedOn w:val="Normal"/>
    <w:qFormat/>
    <w:pPr>
      <w:jc w:val="center"/>
    </w:pPr>
    <w:rPr>
      <w:b/>
      <w:smallCaps/>
      <w:color w:val="000000"/>
      <w:sz w:val="30"/>
    </w:rPr>
  </w:style>
  <w:style w:type="paragraph" w:styleId="Blockquote">
    <w:name w:val="Blockquote"/>
    <w:basedOn w:val="Normal"/>
    <w:qFormat/>
    <w:pPr>
      <w:ind w:hanging="720" w:start="0" w:end="720"/>
      <w:jc w:val="both"/>
    </w:pPr>
    <w:rPr>
      <w:rFonts w:ascii="Times New Roman" w:hAnsi="Times New Roman" w:cs="Times New Roman"/>
      <w:color w:val="000000"/>
      <w:sz w:val="22"/>
    </w:rPr>
  </w:style>
  <w:style w:type="paragraph" w:styleId="Body">
    <w:name w:val="Body"/>
    <w:basedOn w:val="Normal"/>
    <w:qFormat/>
    <w:pPr/>
    <w:rPr>
      <w:rFonts w:ascii="Times New Roman" w:hAnsi="Times New Roman" w:cs="Times New Roman"/>
      <w:color w:val="000000"/>
      <w:sz w:val="22"/>
    </w:rPr>
  </w:style>
  <w:style w:type="paragraph" w:styleId="BodyPostquote">
    <w:name w:val="Body Postquote"/>
    <w:basedOn w:val="Normal"/>
    <w:qFormat/>
    <w:pPr>
      <w:jc w:val="both"/>
    </w:pPr>
    <w:rPr>
      <w:rFonts w:ascii="Times New Roman" w:hAnsi="Times New Roman" w:cs="Times New Roman"/>
      <w:color w:val="000000"/>
      <w:sz w:val="22"/>
    </w:rPr>
  </w:style>
  <w:style w:type="paragraph" w:styleId="BodyTextContinued">
    <w:name w:val="Body Text Continued"/>
    <w:basedOn w:val="Normal"/>
    <w:qFormat/>
    <w:pPr>
      <w:jc w:val="both"/>
    </w:pPr>
    <w:rPr>
      <w:rFonts w:ascii="Times New Roman" w:hAnsi="Times New Roman" w:cs="Times New Roman"/>
      <w:color w:val="000000"/>
      <w:sz w:val="22"/>
    </w:rPr>
  </w:style>
  <w:style w:type="paragraph" w:styleId="Body14pt">
    <w:name w:val="Body14pt"/>
    <w:basedOn w:val="Normal"/>
    <w:qFormat/>
    <w:pPr>
      <w:tabs>
        <w:tab w:val="clear" w:pos="720"/>
        <w:tab w:val="left" w:pos="1440" w:leader="none"/>
      </w:tabs>
      <w:ind w:hanging="1440" w:start="0" w:end="0"/>
    </w:pPr>
    <w:rPr>
      <w:rFonts w:ascii="Times New Roman" w:hAnsi="Times New Roman" w:cs="Times New Roman"/>
      <w:color w:val="000000"/>
      <w:sz w:val="28"/>
    </w:rPr>
  </w:style>
  <w:style w:type="paragraph" w:styleId="BodyTable">
    <w:name w:val="BodyTable"/>
    <w:basedOn w:val="Normal"/>
    <w:qFormat/>
    <w:pPr>
      <w:jc w:val="both"/>
    </w:pPr>
    <w:rPr>
      <w:rFonts w:ascii="Times New Roman" w:hAnsi="Times New Roman" w:cs="Times New Roman"/>
      <w:color w:val="000000"/>
      <w:sz w:val="22"/>
    </w:rPr>
  </w:style>
  <w:style w:type="paragraph" w:styleId="BodyTableFlushLeft">
    <w:name w:val="BodyTableFlushLeft"/>
    <w:basedOn w:val="Normal"/>
    <w:qFormat/>
    <w:pPr/>
    <w:rPr>
      <w:rFonts w:ascii="Times New Roman" w:hAnsi="Times New Roman" w:cs="Times New Roman"/>
      <w:color w:val="000000"/>
      <w:sz w:val="22"/>
    </w:rPr>
  </w:style>
  <w:style w:type="paragraph" w:styleId="Bullet">
    <w:name w:val="Bullet"/>
    <w:basedOn w:val="Normal"/>
    <w:qFormat/>
    <w:pPr>
      <w:ind w:hanging="360" w:start="720" w:end="0"/>
      <w:jc w:val="both"/>
    </w:pPr>
    <w:rPr>
      <w:rFonts w:ascii="Times New Roman" w:hAnsi="Times New Roman" w:cs="Times New Roman"/>
      <w:color w:val="000000"/>
      <w:sz w:val="22"/>
    </w:rPr>
  </w:style>
  <w:style w:type="paragraph" w:styleId="BulletPost-Quote">
    <w:name w:val="Bullet Post-Quote"/>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color w:val="000000"/>
      <w:sz w:val="22"/>
    </w:rPr>
  </w:style>
  <w:style w:type="paragraph" w:styleId="BulletCheckBox">
    <w:name w:val="BulletCheckBox"/>
    <w:basedOn w:val="Normal"/>
    <w:qFormat/>
    <w:pPr>
      <w:tabs>
        <w:tab w:val="left" w:pos="720" w:leader="none"/>
      </w:tabs>
      <w:ind w:hanging="720" w:start="0" w:end="0"/>
      <w:jc w:val="both"/>
    </w:pPr>
    <w:rPr>
      <w:rFonts w:ascii="Times New Roman" w:hAnsi="Times New Roman" w:cs="Times New Roman"/>
      <w:color w:val="000000"/>
      <w:sz w:val="22"/>
    </w:rPr>
  </w:style>
  <w:style w:type="paragraph" w:styleId="Bulleted">
    <w:name w:val="Bulleted"/>
    <w:basedOn w:val="Normal"/>
    <w:qFormat/>
    <w:pPr>
      <w:tabs>
        <w:tab w:val="clear" w:pos="720"/>
        <w:tab w:val="left" w:pos="1080" w:leader="none"/>
        <w:tab w:val="left" w:pos="1440" w:leader="none"/>
      </w:tabs>
      <w:ind w:hanging="360" w:start="1080" w:end="0"/>
    </w:pPr>
    <w:rPr>
      <w:rFonts w:ascii="Times New Roman" w:hAnsi="Times New Roman" w:cs="Times New Roman"/>
      <w:color w:val="000000"/>
      <w:sz w:val="22"/>
    </w:rPr>
  </w:style>
  <w:style w:type="paragraph" w:styleId="BulletInvisible">
    <w:name w:val="BulletInvisible"/>
    <w:basedOn w:val="Normal"/>
    <w:qFormat/>
    <w:pPr>
      <w:tabs>
        <w:tab w:val="left" w:pos="720" w:leader="none"/>
      </w:tabs>
      <w:ind w:hanging="0" w:start="720" w:end="0"/>
      <w:jc w:val="both"/>
    </w:pPr>
    <w:rPr>
      <w:rFonts w:ascii="Times New Roman" w:hAnsi="Times New Roman" w:cs="Times New Roman"/>
      <w:color w:val="000000"/>
      <w:sz w:val="22"/>
    </w:rPr>
  </w:style>
  <w:style w:type="paragraph" w:styleId="BulletItalics">
    <w:name w:val="BulletItalics"/>
    <w:basedOn w:val="Normal"/>
    <w:qFormat/>
    <w:pPr>
      <w:tabs>
        <w:tab w:val="clear" w:pos="720"/>
        <w:tab w:val="left" w:pos="1080" w:leader="none"/>
      </w:tabs>
      <w:ind w:hanging="360" w:start="720" w:end="0"/>
      <w:jc w:val="both"/>
    </w:pPr>
    <w:rPr>
      <w:rFonts w:ascii="Times New Roman" w:hAnsi="Times New Roman" w:cs="Times New Roman"/>
      <w:i/>
      <w:color w:val="000000"/>
      <w:sz w:val="22"/>
    </w:rPr>
  </w:style>
  <w:style w:type="paragraph" w:styleId="BulletQuote">
    <w:name w:val="BulletQuote"/>
    <w:basedOn w:val="Normal"/>
    <w:qFormat/>
    <w:pPr>
      <w:tabs>
        <w:tab w:val="clear" w:pos="720"/>
        <w:tab w:val="left" w:pos="360" w:leader="none"/>
      </w:tabs>
      <w:ind w:hanging="0" w:start="360" w:end="720"/>
      <w:jc w:val="both"/>
    </w:pPr>
    <w:rPr>
      <w:rFonts w:ascii="Times New Roman" w:hAnsi="Times New Roman" w:cs="Times New Roman"/>
      <w:color w:val="000000"/>
      <w:sz w:val="22"/>
    </w:rPr>
  </w:style>
  <w:style w:type="paragraph" w:styleId="bulletquote1">
    <w:name w:val="bulletquote1"/>
    <w:basedOn w:val="Normal"/>
    <w:qFormat/>
    <w:pPr>
      <w:tabs>
        <w:tab w:val="left" w:pos="0" w:leader="none"/>
        <w:tab w:val="left" w:pos="720" w:leader="none"/>
      </w:tabs>
      <w:ind w:firstLine="720" w:start="0" w:end="1440"/>
      <w:jc w:val="both"/>
    </w:pPr>
    <w:rPr>
      <w:rFonts w:ascii="Times New Roman" w:hAnsi="Times New Roman" w:cs="Times New Roman"/>
      <w:color w:val="000000"/>
      <w:sz w:val="22"/>
    </w:rPr>
  </w:style>
  <w:style w:type="paragraph" w:styleId="BulletSub">
    <w:name w:val="BulletSub"/>
    <w:basedOn w:val="Normal"/>
    <w:qFormat/>
    <w:pPr>
      <w:tabs>
        <w:tab w:val="left" w:pos="360" w:leader="none"/>
        <w:tab w:val="left" w:pos="720" w:leader="none"/>
      </w:tabs>
      <w:ind w:hanging="360" w:start="360" w:end="0"/>
      <w:jc w:val="both"/>
    </w:pPr>
    <w:rPr>
      <w:rFonts w:ascii="Times New Roman" w:hAnsi="Times New Roman" w:cs="Times New Roman"/>
      <w:color w:val="000000"/>
      <w:sz w:val="22"/>
    </w:rPr>
  </w:style>
  <w:style w:type="paragraph" w:styleId="BulletSub2">
    <w:name w:val="BulletSub2"/>
    <w:basedOn w:val="Normal"/>
    <w:qFormat/>
    <w:pPr>
      <w:tabs>
        <w:tab w:val="left" w:pos="720" w:leader="none"/>
        <w:tab w:val="left" w:pos="1080" w:leader="none"/>
      </w:tabs>
      <w:ind w:hanging="360" w:start="1080" w:end="0"/>
      <w:jc w:val="both"/>
    </w:pPr>
    <w:rPr>
      <w:rFonts w:ascii="Times New Roman" w:hAnsi="Times New Roman" w:cs="Times New Roman"/>
      <w:color w:val="000000"/>
      <w:sz w:val="22"/>
    </w:rPr>
  </w:style>
  <w:style w:type="paragraph" w:styleId="BulletSub3">
    <w:name w:val="BulletSub3"/>
    <w:basedOn w:val="Normal"/>
    <w:qFormat/>
    <w:pPr>
      <w:tabs>
        <w:tab w:val="clear" w:pos="720"/>
        <w:tab w:val="left" w:pos="0" w:leader="none"/>
        <w:tab w:val="left" w:pos="360" w:leader="none"/>
      </w:tabs>
      <w:ind w:hanging="360" w:start="0" w:end="0"/>
      <w:jc w:val="both"/>
    </w:pPr>
    <w:rPr>
      <w:rFonts w:ascii="Times New Roman" w:hAnsi="Times New Roman" w:cs="Times New Roman"/>
      <w:color w:val="000000"/>
      <w:sz w:val="22"/>
    </w:rPr>
  </w:style>
  <w:style w:type="paragraph" w:styleId="BulletTable">
    <w:name w:val="BulletTable"/>
    <w:basedOn w:val="Normal"/>
    <w:qFormat/>
    <w:pPr>
      <w:tabs>
        <w:tab w:val="clear" w:pos="720"/>
        <w:tab w:val="left" w:pos="1224" w:leader="none"/>
        <w:tab w:val="left" w:pos="1440" w:leader="none"/>
      </w:tabs>
      <w:ind w:hanging="216" w:start="1224" w:end="0"/>
    </w:pPr>
    <w:rPr>
      <w:rFonts w:ascii="Times New Roman" w:hAnsi="Times New Roman" w:cs="Times New Roman"/>
      <w:color w:val="000000"/>
      <w:sz w:val="22"/>
    </w:rPr>
  </w:style>
  <w:style w:type="paragraph" w:styleId="CellBody">
    <w:name w:val="CellBody"/>
    <w:basedOn w:val="Normal"/>
    <w:qFormat/>
    <w:pPr/>
    <w:rPr>
      <w:rFonts w:ascii="Times New Roman" w:hAnsi="Times New Roman" w:cs="Times New Roman"/>
      <w:color w:val="000000"/>
      <w:sz w:val="22"/>
    </w:rPr>
  </w:style>
  <w:style w:type="paragraph" w:styleId="CellHeading">
    <w:name w:val="CellHeading"/>
    <w:basedOn w:val="Normal"/>
    <w:qFormat/>
    <w:pPr>
      <w:jc w:val="center"/>
    </w:pPr>
    <w:rPr>
      <w:rFonts w:ascii="Times New Roman" w:hAnsi="Times New Roman" w:cs="Times New Roman"/>
      <w:color w:val="000000"/>
      <w:sz w:val="22"/>
    </w:rPr>
  </w:style>
  <w:style w:type="paragraph" w:styleId="Centered">
    <w:name w:val="Centered"/>
    <w:basedOn w:val="Normal"/>
    <w:qFormat/>
    <w:pPr>
      <w:jc w:val="center"/>
    </w:pPr>
    <w:rPr>
      <w:rFonts w:ascii="Times New Roman" w:hAnsi="Times New Roman" w:cs="Times New Roman"/>
      <w:caps/>
      <w:color w:val="000000"/>
      <w:sz w:val="22"/>
    </w:rPr>
  </w:style>
  <w:style w:type="paragraph" w:styleId="CenteredAndBold">
    <w:name w:val="CenteredAndBold"/>
    <w:basedOn w:val="Normal"/>
    <w:qFormat/>
    <w:pPr>
      <w:jc w:val="center"/>
    </w:pPr>
    <w:rPr>
      <w:rFonts w:ascii="Times New Roman" w:hAnsi="Times New Roman" w:cs="Times New Roman"/>
      <w:b/>
      <w:color w:val="000000"/>
      <w:sz w:val="22"/>
    </w:rPr>
  </w:style>
  <w:style w:type="paragraph" w:styleId="CenteredAndBoldItalics">
    <w:name w:val="CenteredAndBoldItalics"/>
    <w:basedOn w:val="Normal"/>
    <w:qFormat/>
    <w:pPr>
      <w:jc w:val="center"/>
    </w:pPr>
    <w:rPr>
      <w:rFonts w:ascii="Times New Roman" w:hAnsi="Times New Roman" w:cs="Times New Roman"/>
      <w:b/>
      <w:i/>
      <w:color w:val="000000"/>
      <w:sz w:val="22"/>
    </w:rPr>
  </w:style>
  <w:style w:type="paragraph" w:styleId="CenteredAndBoldSmCaps">
    <w:name w:val="CenteredAndBoldSmCaps"/>
    <w:basedOn w:val="Normal"/>
    <w:qFormat/>
    <w:pPr>
      <w:jc w:val="center"/>
    </w:pPr>
    <w:rPr>
      <w:rFonts w:ascii="Times New Roman" w:hAnsi="Times New Roman" w:cs="Times New Roman"/>
      <w:b/>
      <w:smallCaps/>
      <w:color w:val="000000"/>
      <w:sz w:val="22"/>
    </w:rPr>
  </w:style>
  <w:style w:type="paragraph" w:styleId="CenteredBoldLarge">
    <w:name w:val="CenteredBoldLarge"/>
    <w:basedOn w:val="Normal"/>
    <w:qFormat/>
    <w:pPr>
      <w:tabs>
        <w:tab w:val="clear" w:pos="720"/>
        <w:tab w:val="left" w:pos="0" w:leader="none"/>
      </w:tabs>
      <w:spacing w:lineRule="atLeast" w:line="260"/>
      <w:ind w:hanging="1440" w:start="0" w:end="1440"/>
      <w:jc w:val="center"/>
    </w:pPr>
    <w:rPr>
      <w:b/>
      <w:caps/>
      <w:color w:val="000000"/>
      <w:sz w:val="28"/>
    </w:rPr>
  </w:style>
  <w:style w:type="paragraph" w:styleId="CenteredBoldSmallCapsBookAntiqua">
    <w:name w:val="CenteredBoldSmallCapsBookAntiqua"/>
    <w:basedOn w:val="Normal"/>
    <w:qFormat/>
    <w:pPr>
      <w:jc w:val="center"/>
    </w:pPr>
    <w:rPr>
      <w:b/>
      <w:smallCaps/>
      <w:color w:val="000000"/>
      <w:sz w:val="22"/>
    </w:rPr>
  </w:style>
  <w:style w:type="paragraph" w:styleId="CenteredBookAntiqua">
    <w:name w:val="CenteredBookAntiqua"/>
    <w:basedOn w:val="Normal"/>
    <w:qFormat/>
    <w:pPr>
      <w:jc w:val="center"/>
    </w:pPr>
    <w:rPr>
      <w:color w:val="000000"/>
      <w:sz w:val="22"/>
    </w:rPr>
  </w:style>
  <w:style w:type="paragraph" w:styleId="CenteredLowerCase">
    <w:name w:val="CenteredLowerCase"/>
    <w:basedOn w:val="Normal"/>
    <w:qFormat/>
    <w:pPr>
      <w:jc w:val="center"/>
    </w:pPr>
    <w:rPr>
      <w:rFonts w:ascii="Times New Roman" w:hAnsi="Times New Roman" w:cs="Times New Roman"/>
      <w:color w:val="000000"/>
      <w:sz w:val="22"/>
    </w:rPr>
  </w:style>
  <w:style w:type="paragraph" w:styleId="CenteredLowerCase2">
    <w:name w:val="CenteredLowerCase2"/>
    <w:basedOn w:val="Normal"/>
    <w:qFormat/>
    <w:pPr>
      <w:spacing w:lineRule="atLeast" w:line="260"/>
      <w:jc w:val="center"/>
    </w:pPr>
    <w:rPr>
      <w:rFonts w:ascii="Times New Roman" w:hAnsi="Times New Roman" w:cs="Times New Roman"/>
      <w:color w:val="000000"/>
      <w:sz w:val="22"/>
    </w:rPr>
  </w:style>
  <w:style w:type="paragraph" w:styleId="CenteredLowerCaseBold">
    <w:name w:val="CenteredLowerCaseBold"/>
    <w:basedOn w:val="Normal"/>
    <w:qFormat/>
    <w:pPr>
      <w:spacing w:lineRule="atLeast" w:line="260"/>
      <w:jc w:val="center"/>
    </w:pPr>
    <w:rPr>
      <w:rFonts w:ascii="Times New Roman" w:hAnsi="Times New Roman" w:cs="Times New Roman"/>
      <w:b/>
      <w:color w:val="000000"/>
      <w:sz w:val="22"/>
    </w:rPr>
  </w:style>
  <w:style w:type="paragraph" w:styleId="CenteredUpperCase">
    <w:name w:val="CenteredUpperCase"/>
    <w:basedOn w:val="Normal"/>
    <w:qFormat/>
    <w:pPr>
      <w:jc w:val="center"/>
    </w:pPr>
    <w:rPr>
      <w:rFonts w:ascii="Times New Roman" w:hAnsi="Times New Roman" w:cs="Times New Roman"/>
      <w:color w:val="000000"/>
      <w:sz w:val="22"/>
    </w:rPr>
  </w:style>
  <w:style w:type="paragraph" w:styleId="ChapterTitle">
    <w:name w:val="ChapterTitle"/>
    <w:basedOn w:val="Normal"/>
    <w:qFormat/>
    <w:pPr>
      <w:jc w:val="end"/>
    </w:pPr>
    <w:rPr>
      <w:smallCaps/>
      <w:color w:val="000000"/>
      <w:sz w:val="44"/>
    </w:rPr>
  </w:style>
  <w:style w:type="paragraph" w:styleId="CommentFromEditor">
    <w:name w:val="CommentFromEditor"/>
    <w:basedOn w:val="Normal"/>
    <w:qFormat/>
    <w:pPr>
      <w:tabs>
        <w:tab w:val="clear" w:pos="720"/>
        <w:tab w:val="left" w:pos="0" w:leader="none"/>
        <w:tab w:val="left" w:pos="1440" w:leader="none"/>
      </w:tabs>
      <w:ind w:firstLine="1440" w:start="1440" w:end="1440"/>
      <w:jc w:val="center"/>
    </w:pPr>
    <w:rPr>
      <w:rFonts w:ascii="Times New Roman" w:hAnsi="Times New Roman" w:cs="Times New Roman"/>
      <w:b/>
      <w:color w:val="000000"/>
      <w:sz w:val="4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6652" w:leader="none"/>
      </w:tabs>
    </w:pPr>
    <w:rPr>
      <w:b/>
      <w:smallCaps/>
      <w:color w:val="000000"/>
      <w:sz w:val="18"/>
    </w:rPr>
  </w:style>
  <w:style w:type="paragraph" w:styleId="FootnoteText">
    <w:name w:val="footnote text"/>
    <w:basedOn w:val="Normal"/>
    <w:pPr>
      <w:tabs>
        <w:tab w:val="left" w:pos="720" w:leader="none"/>
        <w:tab w:val="left" w:pos="1080" w:leader="none"/>
        <w:tab w:val="left" w:pos="1440" w:leader="none"/>
      </w:tabs>
      <w:ind w:firstLine="360" w:start="1440" w:end="0"/>
      <w:jc w:val="both"/>
    </w:pPr>
    <w:rPr>
      <w:rFonts w:ascii="Times New Roman" w:hAnsi="Times New Roman" w:cs="Times New Roman"/>
      <w:b/>
      <w:color w:val="000000"/>
      <w:sz w:val="20"/>
    </w:rPr>
  </w:style>
  <w:style w:type="paragraph" w:styleId="footnotebullet">
    <w:name w:val="footnote bullet"/>
    <w:basedOn w:val="Normal"/>
    <w:qFormat/>
    <w:pPr>
      <w:tabs>
        <w:tab w:val="left" w:pos="360" w:leader="none"/>
        <w:tab w:val="left" w:pos="720" w:leader="none"/>
      </w:tabs>
      <w:ind w:hanging="360" w:start="360" w:end="0"/>
      <w:jc w:val="both"/>
    </w:pPr>
    <w:rPr>
      <w:rFonts w:ascii="Times New Roman" w:hAnsi="Times New Roman" w:cs="Times New Roman"/>
      <w:color w:val="000000"/>
      <w:sz w:val="20"/>
    </w:rPr>
  </w:style>
  <w:style w:type="paragraph" w:styleId="FootnoteText1">
    <w:name w:val="Footnote Text1"/>
    <w:basedOn w:val="Normal"/>
    <w:qFormat/>
    <w:pPr>
      <w:tabs>
        <w:tab w:val="clear" w:pos="720"/>
        <w:tab w:val="left" w:pos="1080" w:leader="none"/>
        <w:tab w:val="left" w:pos="1440" w:leader="none"/>
      </w:tabs>
      <w:ind w:firstLine="360" w:start="1440" w:end="0"/>
      <w:jc w:val="both"/>
    </w:pPr>
    <w:rPr>
      <w:rFonts w:ascii="Times New Roman" w:hAnsi="Times New Roman" w:cs="Times New Roman"/>
      <w:color w:val="000000"/>
      <w:sz w:val="20"/>
    </w:rPr>
  </w:style>
  <w:style w:type="paragraph" w:styleId="footnotequote">
    <w:name w:val="footnotequote"/>
    <w:basedOn w:val="Normal"/>
    <w:qFormat/>
    <w:pPr>
      <w:tabs>
        <w:tab w:val="left" w:pos="720" w:leader="none"/>
      </w:tabs>
      <w:ind w:hanging="0" w:start="720" w:end="0"/>
      <w:jc w:val="both"/>
    </w:pPr>
    <w:rPr>
      <w:rFonts w:ascii="Times New Roman" w:hAnsi="Times New Roman" w:cs="Times New Roman"/>
      <w:color w:val="000000"/>
      <w:sz w:val="20"/>
    </w:rPr>
  </w:style>
  <w:style w:type="paragraph" w:styleId="FrontPageEdition">
    <w:name w:val="FrontPageEdition"/>
    <w:basedOn w:val="Normal"/>
    <w:qFormat/>
    <w:pPr>
      <w:spacing w:lineRule="atLeast" w:line="300"/>
      <w:jc w:val="center"/>
    </w:pPr>
    <w:rPr>
      <w:b/>
      <w:caps/>
      <w:color w:val="000000"/>
      <w:sz w:val="32"/>
    </w:rPr>
  </w:style>
  <w:style w:type="paragraph" w:styleId="FrontPageTitle">
    <w:name w:val="FrontPageTitle"/>
    <w:basedOn w:val="Normal"/>
    <w:qFormat/>
    <w:pPr>
      <w:spacing w:lineRule="atLeast" w:line="400"/>
      <w:jc w:val="center"/>
    </w:pPr>
    <w:rPr>
      <w:smallCaps/>
      <w:color w:val="000000"/>
      <w:sz w:val="80"/>
      <w:vertAlign w:val="superscript"/>
    </w:rPr>
  </w:style>
  <w:style w:type="paragraph" w:styleId="GroupTitlesIOM">
    <w:name w:val="GroupTitlesIOM"/>
    <w:basedOn w:val="Normal"/>
    <w:qFormat/>
    <w:pPr>
      <w:jc w:val="both"/>
    </w:pPr>
    <w:rPr>
      <w:b/>
      <w:color w:val="0000FF"/>
    </w:rPr>
  </w:style>
  <w:style w:type="paragraph" w:styleId="HeaderLeftPage">
    <w:name w:val="HeaderLeftPage"/>
    <w:basedOn w:val="Normal"/>
    <w:qFormat/>
    <w:pPr>
      <w:tabs>
        <w:tab w:val="clear" w:pos="720"/>
        <w:tab w:val="center" w:pos="2606" w:leader="none"/>
      </w:tabs>
    </w:pPr>
    <w:rPr>
      <w:b/>
      <w:smallCaps/>
      <w:color w:val="000000"/>
      <w:sz w:val="20"/>
    </w:rPr>
  </w:style>
  <w:style w:type="paragraph" w:styleId="HeaderRightPage">
    <w:name w:val="HeaderRightPage"/>
    <w:basedOn w:val="Normal"/>
    <w:qFormat/>
    <w:pPr>
      <w:tabs>
        <w:tab w:val="clear" w:pos="720"/>
        <w:tab w:val="center" w:pos="2606" w:leader="none"/>
        <w:tab w:val="right" w:pos="6652" w:leader="none"/>
      </w:tabs>
      <w:jc w:val="both"/>
    </w:pPr>
    <w:rPr>
      <w:b/>
      <w:smallCaps/>
      <w:color w:val="000000"/>
      <w:sz w:val="20"/>
    </w:rPr>
  </w:style>
  <w:style w:type="paragraph" w:styleId="heading1TOC">
    <w:name w:val="heading 1TOC"/>
    <w:basedOn w:val="Normal"/>
    <w:qFormat/>
    <w:pPr>
      <w:tabs>
        <w:tab w:val="clear" w:pos="720"/>
        <w:tab w:val="right" w:pos="8280" w:leader="dot"/>
      </w:tabs>
    </w:pPr>
    <w:rPr>
      <w:rFonts w:ascii="Times New Roman" w:hAnsi="Times New Roman" w:cs="Times New Roman"/>
      <w:color w:val="000000"/>
      <w:sz w:val="22"/>
    </w:rPr>
  </w:style>
  <w:style w:type="paragraph" w:styleId="Heading2BodyTextwSectionNumber">
    <w:name w:val="Heading 2 Body Text w/Section Number"/>
    <w:basedOn w:val="Normal"/>
    <w:qFormat/>
    <w:pPr/>
    <w:rPr>
      <w:b/>
      <w:smallCaps/>
      <w:color w:val="000000"/>
      <w:sz w:val="22"/>
    </w:rPr>
  </w:style>
  <w:style w:type="paragraph" w:styleId="Heading2BodyTextwSectionNumberFirstItem">
    <w:name w:val="Heading 2 Body Text w/Section Number First Item"/>
    <w:basedOn w:val="Normal"/>
    <w:qFormat/>
    <w:pPr/>
    <w:rPr>
      <w:rFonts w:ascii="Times New Roman" w:hAnsi="Times New Roman" w:cs="Times New Roman"/>
      <w:b/>
      <w:smallCaps/>
      <w:color w:val="000000"/>
      <w:sz w:val="22"/>
    </w:rPr>
  </w:style>
  <w:style w:type="paragraph" w:styleId="heading2FirstOf2Lines">
    <w:name w:val="heading 2FirstOf2Lines"/>
    <w:basedOn w:val="Normal"/>
    <w:qFormat/>
    <w:pPr/>
    <w:rPr>
      <w:b/>
      <w:smallCaps/>
      <w:color w:val="000000"/>
      <w:sz w:val="32"/>
    </w:rPr>
  </w:style>
  <w:style w:type="paragraph" w:styleId="heading2SecondOf2Lines">
    <w:name w:val="heading 2SecondOf2Lines"/>
    <w:basedOn w:val="Normal"/>
    <w:qFormat/>
    <w:pPr/>
    <w:rPr>
      <w:b/>
      <w:smallCaps/>
      <w:color w:val="000000"/>
      <w:sz w:val="32"/>
    </w:rPr>
  </w:style>
  <w:style w:type="paragraph" w:styleId="heading2TOC">
    <w:name w:val="heading 2TOC"/>
    <w:basedOn w:val="Normal"/>
    <w:qFormat/>
    <w:pPr>
      <w:tabs>
        <w:tab w:val="clear" w:pos="720"/>
        <w:tab w:val="right" w:pos="8280" w:leader="dot"/>
      </w:tabs>
    </w:pPr>
    <w:rPr>
      <w:rFonts w:ascii="Times New Roman" w:hAnsi="Times New Roman" w:cs="Times New Roman"/>
      <w:color w:val="000000"/>
      <w:sz w:val="22"/>
    </w:rPr>
  </w:style>
  <w:style w:type="paragraph" w:styleId="heading2TopOfChapter">
    <w:name w:val="heading 2TopOfChapter"/>
    <w:basedOn w:val="Normal"/>
    <w:qFormat/>
    <w:pPr/>
    <w:rPr>
      <w:b/>
      <w:smallCaps/>
      <w:color w:val="000000"/>
      <w:sz w:val="32"/>
    </w:rPr>
  </w:style>
  <w:style w:type="paragraph" w:styleId="heading2TopOfChapterFI">
    <w:name w:val="heading 2TopOfChapterFI"/>
    <w:basedOn w:val="Normal"/>
    <w:qFormat/>
    <w:pPr>
      <w:tabs>
        <w:tab w:val="clear" w:pos="720"/>
        <w:tab w:val="left" w:pos="1440" w:leader="none"/>
      </w:tabs>
      <w:ind w:hanging="0" w:start="1440" w:end="2880"/>
    </w:pPr>
    <w:rPr>
      <w:b/>
      <w:caps/>
      <w:color w:val="000000"/>
      <w:sz w:val="32"/>
    </w:rPr>
  </w:style>
  <w:style w:type="paragraph" w:styleId="heading2TopOfChapterTOC">
    <w:name w:val="heading 2TopOfChapterTOC"/>
    <w:basedOn w:val="Normal"/>
    <w:qFormat/>
    <w:pPr>
      <w:tabs>
        <w:tab w:val="clear" w:pos="720"/>
        <w:tab w:val="right" w:pos="8280" w:leader="dot"/>
      </w:tabs>
    </w:pPr>
    <w:rPr>
      <w:rFonts w:ascii="Times New Roman" w:hAnsi="Times New Roman" w:cs="Times New Roman"/>
      <w:color w:val="000000"/>
      <w:sz w:val="22"/>
    </w:rPr>
  </w:style>
  <w:style w:type="paragraph" w:styleId="heading2TopOfPage">
    <w:name w:val="heading 2TopOfPage"/>
    <w:basedOn w:val="Normal"/>
    <w:qFormat/>
    <w:pPr>
      <w:ind w:hanging="0" w:start="1440" w:end="5400"/>
    </w:pPr>
    <w:rPr>
      <w:caps/>
      <w:color w:val="000000"/>
      <w:sz w:val="32"/>
    </w:rPr>
  </w:style>
  <w:style w:type="paragraph" w:styleId="heading2TopOfPageTOC">
    <w:name w:val="heading 2TopOfPageTOC"/>
    <w:basedOn w:val="Normal"/>
    <w:qFormat/>
    <w:pPr>
      <w:tabs>
        <w:tab w:val="clear" w:pos="720"/>
        <w:tab w:val="right" w:pos="8280" w:leader="dot"/>
      </w:tabs>
    </w:pPr>
    <w:rPr>
      <w:rFonts w:ascii="Times New Roman" w:hAnsi="Times New Roman" w:cs="Times New Roman"/>
      <w:color w:val="000000"/>
      <w:sz w:val="22"/>
    </w:rPr>
  </w:style>
  <w:style w:type="paragraph" w:styleId="heading3firstiteminchapter">
    <w:name w:val="heading 3 first item in chapter"/>
    <w:basedOn w:val="Normal"/>
    <w:qFormat/>
    <w:pPr/>
    <w:rPr>
      <w:b/>
      <w:color w:val="000000"/>
      <w:sz w:val="22"/>
    </w:rPr>
  </w:style>
  <w:style w:type="paragraph" w:styleId="heading3SmallCaps">
    <w:name w:val="heading 3SmallCaps"/>
    <w:basedOn w:val="Normal"/>
    <w:qFormat/>
    <w:pPr>
      <w:ind w:hanging="0" w:start="1440" w:end="1440"/>
    </w:pPr>
    <w:rPr>
      <w:b/>
      <w:smallCaps/>
      <w:color w:val="000000"/>
      <w:sz w:val="30"/>
    </w:rPr>
  </w:style>
  <w:style w:type="paragraph" w:styleId="heading3SmallCapsTOC">
    <w:name w:val="heading 3SmallCapsTOC"/>
    <w:basedOn w:val="Normal"/>
    <w:qFormat/>
    <w:pPr>
      <w:tabs>
        <w:tab w:val="left" w:pos="720" w:leader="none"/>
        <w:tab w:val="right" w:pos="8280" w:leader="dot"/>
      </w:tabs>
      <w:ind w:hanging="0" w:start="720" w:end="0"/>
    </w:pPr>
    <w:rPr>
      <w:rFonts w:ascii="Times New Roman" w:hAnsi="Times New Roman" w:cs="Times New Roman"/>
      <w:color w:val="000000"/>
      <w:sz w:val="22"/>
    </w:rPr>
  </w:style>
  <w:style w:type="paragraph" w:styleId="heading3TOC">
    <w:name w:val="heading 3TOC"/>
    <w:basedOn w:val="Normal"/>
    <w:qFormat/>
    <w:pPr>
      <w:tabs>
        <w:tab w:val="clear" w:pos="720"/>
        <w:tab w:val="right" w:pos="8280" w:leader="dot"/>
      </w:tabs>
      <w:ind w:hanging="0" w:start="720" w:end="0"/>
    </w:pPr>
    <w:rPr>
      <w:rFonts w:ascii="Times New Roman" w:hAnsi="Times New Roman" w:cs="Times New Roman"/>
      <w:color w:val="000000"/>
      <w:sz w:val="22"/>
    </w:rPr>
  </w:style>
  <w:style w:type="paragraph" w:styleId="Heading4a">
    <w:name w:val="Heading 4a"/>
    <w:basedOn w:val="Normal"/>
    <w:qFormat/>
    <w:pPr>
      <w:jc w:val="center"/>
    </w:pPr>
    <w:rPr>
      <w:rFonts w:ascii="Times New Roman" w:hAnsi="Times New Roman" w:cs="Times New Roman"/>
      <w:b/>
      <w:caps/>
      <w:color w:val="000000"/>
      <w:sz w:val="28"/>
    </w:rPr>
  </w:style>
  <w:style w:type="paragraph" w:styleId="Heading4aTOC">
    <w:name w:val="Heading 4aTOC"/>
    <w:basedOn w:val="Normal"/>
    <w:qFormat/>
    <w:pPr>
      <w:tabs>
        <w:tab w:val="clear" w:pos="720"/>
        <w:tab w:val="left" w:pos="360" w:leader="none"/>
        <w:tab w:val="right" w:pos="8280" w:leader="dot"/>
      </w:tabs>
      <w:ind w:hanging="0" w:start="360" w:end="0"/>
    </w:pPr>
    <w:rPr>
      <w:rFonts w:ascii="Times New Roman" w:hAnsi="Times New Roman" w:cs="Times New Roman"/>
      <w:color w:val="000000"/>
      <w:sz w:val="22"/>
    </w:rPr>
  </w:style>
  <w:style w:type="paragraph" w:styleId="heading4TOC">
    <w:name w:val="heading 4TOC"/>
    <w:basedOn w:val="Normal"/>
    <w:qFormat/>
    <w:pPr>
      <w:tabs>
        <w:tab w:val="clear" w:pos="720"/>
        <w:tab w:val="right" w:pos="8280" w:leader="dot"/>
      </w:tabs>
      <w:ind w:hanging="0" w:start="360" w:end="0"/>
    </w:pPr>
    <w:rPr>
      <w:rFonts w:ascii="Times New Roman" w:hAnsi="Times New Roman" w:cs="Times New Roman"/>
      <w:color w:val="000000"/>
      <w:sz w:val="22"/>
    </w:rPr>
  </w:style>
  <w:style w:type="paragraph" w:styleId="heading5TOC">
    <w:name w:val="heading 5TOC"/>
    <w:basedOn w:val="Normal"/>
    <w:qFormat/>
    <w:pPr>
      <w:tabs>
        <w:tab w:val="clear" w:pos="720"/>
        <w:tab w:val="left" w:pos="0" w:leader="none"/>
        <w:tab w:val="right" w:pos="8280" w:leader="dot"/>
      </w:tabs>
    </w:pPr>
    <w:rPr>
      <w:rFonts w:ascii="Times New Roman" w:hAnsi="Times New Roman" w:cs="Times New Roman"/>
      <w:color w:val="000000"/>
      <w:sz w:val="22"/>
    </w:rPr>
  </w:style>
  <w:style w:type="paragraph" w:styleId="heading6TOC">
    <w:name w:val="heading 6TOC"/>
    <w:basedOn w:val="Normal"/>
    <w:qFormat/>
    <w:pPr>
      <w:tabs>
        <w:tab w:val="clear" w:pos="720"/>
        <w:tab w:val="left" w:pos="360" w:leader="none"/>
        <w:tab w:val="right" w:pos="8280" w:leader="dot"/>
      </w:tabs>
      <w:ind w:hanging="0" w:start="360" w:end="0"/>
    </w:pPr>
    <w:rPr>
      <w:rFonts w:ascii="Times New Roman" w:hAnsi="Times New Roman" w:cs="Times New Roman"/>
      <w:color w:val="000000"/>
      <w:sz w:val="22"/>
    </w:rPr>
  </w:style>
  <w:style w:type="paragraph" w:styleId="Heading11">
    <w:name w:val="Heading1"/>
    <w:basedOn w:val="Normal"/>
    <w:qFormat/>
    <w:pPr/>
    <w:rPr>
      <w:rFonts w:ascii="Times New Roman" w:hAnsi="Times New Roman" w:cs="Times New Roman"/>
      <w:b/>
      <w:color w:val="000000"/>
      <w:sz w:val="28"/>
    </w:rPr>
  </w:style>
  <w:style w:type="paragraph" w:styleId="Heading21">
    <w:name w:val="Heading2"/>
    <w:basedOn w:val="Normal"/>
    <w:qFormat/>
    <w:pPr/>
    <w:rPr>
      <w:rFonts w:ascii="Times New Roman" w:hAnsi="Times New Roman" w:cs="Times New Roman"/>
      <w:b/>
      <w:color w:val="000000"/>
    </w:rPr>
  </w:style>
  <w:style w:type="paragraph" w:styleId="HeadingRunIn">
    <w:name w:val="HeadingRunIn"/>
    <w:basedOn w:val="Normal"/>
    <w:qFormat/>
    <w:pPr/>
    <w:rPr>
      <w:rFonts w:ascii="Times New Roman" w:hAnsi="Times New Roman" w:cs="Times New Roman"/>
      <w:b/>
      <w:color w:val="000000"/>
    </w:rPr>
  </w:style>
  <w:style w:type="paragraph" w:styleId="ImportantNotice">
    <w:name w:val="ImportantNotice"/>
    <w:basedOn w:val="Normal"/>
    <w:qFormat/>
    <w:pPr>
      <w:tabs>
        <w:tab w:val="clear" w:pos="720"/>
        <w:tab w:val="left" w:pos="0" w:leader="none"/>
        <w:tab w:val="left" w:pos="1440" w:leader="none"/>
      </w:tabs>
      <w:ind w:hanging="1440" w:start="0" w:end="1440"/>
      <w:jc w:val="center"/>
    </w:pPr>
    <w:rPr>
      <w:b/>
      <w:caps/>
      <w:color w:val="000000"/>
      <w:sz w:val="28"/>
    </w:rPr>
  </w:style>
  <w:style w:type="paragraph" w:styleId="Indented">
    <w:name w:val="Indented"/>
    <w:basedOn w:val="Normal"/>
    <w:qFormat/>
    <w:pPr>
      <w:ind w:hanging="0" w:start="1080" w:end="0"/>
    </w:pPr>
    <w:rPr>
      <w:rFonts w:ascii="Times New Roman" w:hAnsi="Times New Roman" w:cs="Times New Roman"/>
      <w:color w:val="000000"/>
      <w:sz w:val="22"/>
    </w:rPr>
  </w:style>
  <w:style w:type="paragraph" w:styleId="IndexIOM">
    <w:name w:val="IndexIOM"/>
    <w:basedOn w:val="Normal"/>
    <w:qFormat/>
    <w:pPr/>
    <w:rPr>
      <w:rFonts w:ascii="Times New Roman" w:hAnsi="Times New Roman" w:cs="Times New Roman"/>
      <w:color w:val="000000"/>
    </w:rPr>
  </w:style>
  <w:style w:type="paragraph" w:styleId="LeftJustified">
    <w:name w:val="LeftJustified"/>
    <w:basedOn w:val="Normal"/>
    <w:qFormat/>
    <w:pPr/>
    <w:rPr>
      <w:rFonts w:ascii="Times New Roman" w:hAnsi="Times New Roman" w:cs="Times New Roman"/>
      <w:color w:val="000000"/>
      <w:sz w:val="22"/>
    </w:rPr>
  </w:style>
  <w:style w:type="paragraph" w:styleId="LeftJustifiedBoldSmCaps">
    <w:name w:val="LeftJustifiedBoldSmCaps"/>
    <w:basedOn w:val="Normal"/>
    <w:qFormat/>
    <w:pPr/>
    <w:rPr>
      <w:rFonts w:ascii="Times New Roman" w:hAnsi="Times New Roman" w:cs="Times New Roman"/>
      <w:b/>
      <w:color w:val="000000"/>
      <w:sz w:val="22"/>
    </w:rPr>
  </w:style>
  <w:style w:type="paragraph" w:styleId="Level1IOM">
    <w:name w:val="Level1IOM"/>
    <w:basedOn w:val="Normal"/>
    <w:qFormat/>
    <w:pPr>
      <w:tabs>
        <w:tab w:val="clear" w:pos="720"/>
        <w:tab w:val="left" w:pos="1268" w:leader="none"/>
        <w:tab w:val="left" w:pos="1440" w:leader="none"/>
      </w:tabs>
      <w:ind w:hanging="172" w:start="1268" w:end="0"/>
    </w:pPr>
    <w:rPr>
      <w:rFonts w:ascii="Times New Roman" w:hAnsi="Times New Roman" w:cs="Times New Roman"/>
      <w:color w:val="000000"/>
      <w:sz w:val="22"/>
    </w:rPr>
  </w:style>
  <w:style w:type="paragraph" w:styleId="Level2IOM">
    <w:name w:val="Level2IOM"/>
    <w:basedOn w:val="Normal"/>
    <w:qFormat/>
    <w:pPr>
      <w:tabs>
        <w:tab w:val="left" w:pos="720" w:leader="none"/>
        <w:tab w:val="left" w:pos="1080" w:leader="none"/>
      </w:tabs>
      <w:ind w:hanging="360" w:start="720" w:end="0"/>
    </w:pPr>
    <w:rPr>
      <w:rFonts w:ascii="Times New Roman" w:hAnsi="Times New Roman" w:cs="Times New Roman"/>
      <w:color w:val="000000"/>
      <w:sz w:val="20"/>
    </w:rPr>
  </w:style>
  <w:style w:type="paragraph" w:styleId="ListBullet2">
    <w:name w:val="List Bullet 2"/>
    <w:basedOn w:val="Normal"/>
    <w:pPr>
      <w:tabs>
        <w:tab w:val="clear" w:pos="720"/>
        <w:tab w:val="left" w:pos="0" w:leader="none"/>
        <w:tab w:val="left" w:pos="360" w:leader="none"/>
      </w:tabs>
      <w:ind w:hanging="360" w:start="360" w:end="0"/>
    </w:pPr>
    <w:rPr>
      <w:rFonts w:ascii="Times New Roman" w:hAnsi="Times New Roman" w:cs="Times New Roman"/>
      <w:color w:val="000000"/>
      <w:sz w:val="22"/>
    </w:rPr>
  </w:style>
  <w:style w:type="paragraph" w:styleId="List2FirstItem">
    <w:name w:val="List 2FirstItem"/>
    <w:basedOn w:val="Normal"/>
    <w:qFormat/>
    <w:pPr>
      <w:ind w:hanging="360" w:start="360" w:end="0"/>
    </w:pPr>
    <w:rPr>
      <w:rFonts w:ascii="Times New Roman" w:hAnsi="Times New Roman" w:cs="Times New Roman"/>
      <w:color w:val="000000"/>
      <w:sz w:val="22"/>
    </w:rPr>
  </w:style>
  <w:style w:type="paragraph" w:styleId="ListBullet3">
    <w:name w:val="List Bullet 3"/>
    <w:basedOn w:val="Normal"/>
    <w:pPr>
      <w:tabs>
        <w:tab w:val="left" w:pos="720" w:leader="none"/>
        <w:tab w:val="left" w:pos="1440" w:leader="none"/>
      </w:tabs>
      <w:ind w:hanging="720" w:start="1440" w:end="0"/>
    </w:pPr>
    <w:rPr>
      <w:rFonts w:ascii="Times New Roman" w:hAnsi="Times New Roman" w:cs="Times New Roman"/>
      <w:color w:val="000000"/>
      <w:sz w:val="22"/>
    </w:rPr>
  </w:style>
  <w:style w:type="paragraph" w:styleId="ListFlushLeft">
    <w:name w:val="ListFlushLeft"/>
    <w:basedOn w:val="Normal"/>
    <w:qFormat/>
    <w:pPr>
      <w:tabs>
        <w:tab w:val="clear" w:pos="720"/>
        <w:tab w:val="left" w:pos="1080" w:leader="none"/>
        <w:tab w:val="left" w:pos="1440" w:leader="none"/>
      </w:tabs>
      <w:ind w:hanging="360" w:start="1080" w:end="1440"/>
      <w:jc w:val="both"/>
    </w:pPr>
    <w:rPr>
      <w:rFonts w:ascii="Times New Roman" w:hAnsi="Times New Roman" w:cs="Times New Roman"/>
      <w:color w:val="000000"/>
      <w:sz w:val="22"/>
    </w:rPr>
  </w:style>
  <w:style w:type="paragraph" w:styleId="ListHalfInchTab">
    <w:name w:val="ListHalfInchTab"/>
    <w:basedOn w:val="Normal"/>
    <w:qFormat/>
    <w:pPr>
      <w:tabs>
        <w:tab w:val="left" w:pos="720" w:leader="none"/>
      </w:tabs>
      <w:ind w:hanging="360" w:start="720" w:end="360"/>
      <w:jc w:val="both"/>
    </w:pPr>
    <w:rPr>
      <w:rFonts w:ascii="Times New Roman" w:hAnsi="Times New Roman" w:cs="Times New Roman"/>
      <w:color w:val="000000"/>
      <w:sz w:val="22"/>
    </w:rPr>
  </w:style>
  <w:style w:type="paragraph" w:styleId="ListOne5InchTab">
    <w:name w:val="ListOne.5InchTab"/>
    <w:basedOn w:val="Normal"/>
    <w:qFormat/>
    <w:pPr>
      <w:tabs>
        <w:tab w:val="clear" w:pos="720"/>
        <w:tab w:val="left" w:pos="216" w:leader="none"/>
        <w:tab w:val="left" w:pos="288" w:leader="none"/>
      </w:tabs>
      <w:ind w:hanging="504" w:start="288" w:end="0"/>
      <w:jc w:val="both"/>
    </w:pPr>
    <w:rPr>
      <w:rFonts w:ascii="Times New Roman" w:hAnsi="Times New Roman" w:cs="Times New Roman"/>
      <w:color w:val="000000"/>
      <w:sz w:val="22"/>
    </w:rPr>
  </w:style>
  <w:style w:type="paragraph" w:styleId="ListOneInchTab">
    <w:name w:val="ListOneInchTab"/>
    <w:basedOn w:val="Normal"/>
    <w:qFormat/>
    <w:pPr>
      <w:tabs>
        <w:tab w:val="left" w:pos="720" w:leader="none"/>
      </w:tabs>
      <w:ind w:hanging="504" w:start="216" w:end="0"/>
      <w:jc w:val="both"/>
    </w:pPr>
    <w:rPr>
      <w:rFonts w:ascii="Times New Roman" w:hAnsi="Times New Roman" w:cs="Times New Roman"/>
      <w:color w:val="000000"/>
      <w:sz w:val="22"/>
    </w:rPr>
  </w:style>
  <w:style w:type="paragraph" w:styleId="ListTwoInchTab">
    <w:name w:val="ListTwoInchTab"/>
    <w:basedOn w:val="Normal"/>
    <w:qFormat/>
    <w:pPr>
      <w:tabs>
        <w:tab w:val="clear" w:pos="720"/>
        <w:tab w:val="left" w:pos="288" w:leader="none"/>
        <w:tab w:val="left" w:pos="792" w:leader="none"/>
      </w:tabs>
      <w:ind w:hanging="504" w:start="792" w:end="0"/>
      <w:jc w:val="both"/>
    </w:pPr>
    <w:rPr>
      <w:rFonts w:ascii="Times New Roman" w:hAnsi="Times New Roman" w:cs="Times New Roman"/>
      <w:color w:val="000000"/>
      <w:sz w:val="22"/>
    </w:rPr>
  </w:style>
  <w:style w:type="paragraph" w:styleId="MacroText">
    <w:name w:val="Macro Text"/>
    <w:basedOn w:val="Normal"/>
    <w:qFormat/>
    <w:pPr>
      <w:tabs>
        <w:tab w:val="clear" w:pos="720"/>
        <w:tab w:val="left" w:pos="0" w:leader="none"/>
        <w:tab w:val="left" w:pos="476" w:leader="none"/>
        <w:tab w:val="left" w:pos="965" w:leader="none"/>
        <w:tab w:val="left" w:pos="1440" w:leader="none"/>
        <w:tab w:val="left" w:pos="1915" w:leader="none"/>
        <w:tab w:val="left" w:pos="2404" w:leader="none"/>
        <w:tab w:val="left" w:pos="2880" w:leader="none"/>
      </w:tabs>
    </w:pPr>
    <w:rPr>
      <w:rFonts w:ascii="Times New Roman" w:hAnsi="Times New Roman" w:cs="Times New Roman"/>
      <w:color w:val="000000"/>
      <w:sz w:val="20"/>
    </w:rPr>
  </w:style>
  <w:style w:type="paragraph" w:styleId="Numbered">
    <w:name w:val="Numbered"/>
    <w:basedOn w:val="Normal"/>
    <w:qFormat/>
    <w:pPr>
      <w:tabs>
        <w:tab w:val="left" w:pos="720" w:leader="none"/>
        <w:tab w:val="left" w:pos="1080" w:leader="none"/>
      </w:tabs>
      <w:ind w:hanging="360" w:start="720" w:end="0"/>
      <w:jc w:val="both"/>
    </w:pPr>
    <w:rPr>
      <w:rFonts w:ascii="Times New Roman" w:hAnsi="Times New Roman" w:cs="Times New Roman"/>
      <w:color w:val="000000"/>
      <w:sz w:val="22"/>
    </w:rPr>
  </w:style>
  <w:style w:type="paragraph" w:styleId="Numbered1">
    <w:name w:val="Numbered1"/>
    <w:basedOn w:val="Normal"/>
    <w:qFormat/>
    <w:pPr>
      <w:tabs>
        <w:tab w:val="clear" w:pos="720"/>
        <w:tab w:val="left" w:pos="1440" w:leader="none"/>
      </w:tabs>
      <w:ind w:hanging="360" w:start="1080" w:end="0"/>
    </w:pPr>
    <w:rPr>
      <w:rFonts w:ascii="Times New Roman" w:hAnsi="Times New Roman" w:cs="Times New Roman"/>
      <w:color w:val="000000"/>
    </w:rPr>
  </w:style>
  <w:style w:type="paragraph" w:styleId="NumberedFirstItem">
    <w:name w:val="NumberedFirstItem"/>
    <w:basedOn w:val="Normal"/>
    <w:qFormat/>
    <w:pPr>
      <w:tabs>
        <w:tab w:val="left" w:pos="720" w:leader="none"/>
      </w:tabs>
      <w:ind w:hanging="360" w:start="720" w:end="0"/>
      <w:jc w:val="both"/>
    </w:pPr>
    <w:rPr>
      <w:rFonts w:ascii="Times New Roman" w:hAnsi="Times New Roman" w:cs="Times New Roman"/>
      <w:color w:val="000000"/>
      <w:sz w:val="22"/>
    </w:rPr>
  </w:style>
  <w:style w:type="paragraph" w:styleId="NumberedFirstItemFlushLeft">
    <w:name w:val="NumberedFirstItemFlushLeft"/>
    <w:basedOn w:val="Normal"/>
    <w:qFormat/>
    <w:pPr>
      <w:tabs>
        <w:tab w:val="clear" w:pos="720"/>
        <w:tab w:val="left" w:pos="1440" w:leader="none"/>
      </w:tabs>
      <w:ind w:hanging="360" w:start="1080" w:end="0"/>
      <w:jc w:val="both"/>
    </w:pPr>
    <w:rPr>
      <w:rFonts w:ascii="Times New Roman" w:hAnsi="Times New Roman" w:cs="Times New Roman"/>
      <w:color w:val="000000"/>
      <w:sz w:val="22"/>
    </w:rPr>
  </w:style>
  <w:style w:type="paragraph" w:styleId="NumberedFirstItemHalfInch">
    <w:name w:val="NumberedFirstItemHalfInch"/>
    <w:basedOn w:val="Normal"/>
    <w:qFormat/>
    <w:pPr>
      <w:tabs>
        <w:tab w:val="left" w:pos="720" w:leader="none"/>
      </w:tabs>
      <w:ind w:hanging="360" w:start="720" w:end="0"/>
      <w:jc w:val="both"/>
    </w:pPr>
    <w:rPr>
      <w:rFonts w:ascii="Times New Roman" w:hAnsi="Times New Roman" w:cs="Times New Roman"/>
      <w:color w:val="000000"/>
      <w:sz w:val="22"/>
    </w:rPr>
  </w:style>
  <w:style w:type="paragraph" w:styleId="NumberedFirstItemi">
    <w:name w:val="NumberedFirstItemi"/>
    <w:basedOn w:val="Normal"/>
    <w:qFormat/>
    <w:pPr>
      <w:tabs>
        <w:tab w:val="clear" w:pos="720"/>
        <w:tab w:val="left" w:pos="360" w:leader="none"/>
      </w:tabs>
      <w:ind w:hanging="360" w:start="360" w:end="360"/>
      <w:jc w:val="both"/>
    </w:pPr>
    <w:rPr>
      <w:rFonts w:ascii="Times New Roman" w:hAnsi="Times New Roman" w:cs="Times New Roman"/>
      <w:color w:val="000000"/>
      <w:sz w:val="22"/>
    </w:rPr>
  </w:style>
  <w:style w:type="paragraph" w:styleId="NumberedFlushLeft">
    <w:name w:val="NumberedFlushLeft"/>
    <w:basedOn w:val="Normal"/>
    <w:qFormat/>
    <w:pPr>
      <w:tabs>
        <w:tab w:val="clear" w:pos="720"/>
        <w:tab w:val="left" w:pos="1080" w:leader="none"/>
        <w:tab w:val="left" w:pos="1440" w:leader="none"/>
      </w:tabs>
      <w:ind w:hanging="360" w:start="1080" w:end="0"/>
      <w:jc w:val="both"/>
    </w:pPr>
    <w:rPr>
      <w:rFonts w:ascii="Times New Roman" w:hAnsi="Times New Roman" w:cs="Times New Roman"/>
      <w:color w:val="000000"/>
      <w:sz w:val="22"/>
    </w:rPr>
  </w:style>
  <w:style w:type="paragraph" w:styleId="NumberedHalfInch">
    <w:name w:val="NumberedHalfInch"/>
    <w:basedOn w:val="Normal"/>
    <w:qFormat/>
    <w:pPr>
      <w:tabs>
        <w:tab w:val="left" w:pos="720" w:leader="none"/>
      </w:tabs>
      <w:ind w:hanging="360" w:start="720" w:end="0"/>
      <w:jc w:val="both"/>
    </w:pPr>
    <w:rPr>
      <w:rFonts w:ascii="Times New Roman" w:hAnsi="Times New Roman" w:cs="Times New Roman"/>
      <w:color w:val="000000"/>
      <w:sz w:val="22"/>
    </w:rPr>
  </w:style>
  <w:style w:type="paragraph" w:styleId="Numberedi">
    <w:name w:val="Numberedi"/>
    <w:basedOn w:val="Normal"/>
    <w:qFormat/>
    <w:pPr>
      <w:tabs>
        <w:tab w:val="clear" w:pos="720"/>
        <w:tab w:val="left" w:pos="360" w:leader="none"/>
      </w:tabs>
      <w:ind w:hanging="360" w:start="360" w:end="360"/>
      <w:jc w:val="both"/>
    </w:pPr>
    <w:rPr>
      <w:rFonts w:ascii="Times New Roman" w:hAnsi="Times New Roman" w:cs="Times New Roman"/>
      <w:color w:val="000000"/>
      <w:sz w:val="22"/>
    </w:rPr>
  </w:style>
  <w:style w:type="paragraph" w:styleId="postquote">
    <w:name w:val="postquote"/>
    <w:basedOn w:val="Normal"/>
    <w:qFormat/>
    <w:pPr/>
    <w:rPr>
      <w:rFonts w:ascii="Times New Roman" w:hAnsi="Times New Roman" w:cs="Times New Roman"/>
      <w:color w:val="000000"/>
      <w:sz w:val="22"/>
    </w:rPr>
  </w:style>
  <w:style w:type="paragraph" w:styleId="Quote">
    <w:name w:val="Quote"/>
    <w:basedOn w:val="Normal"/>
    <w:qFormat/>
    <w:pPr>
      <w:ind w:hanging="0" w:start="720" w:end="720"/>
      <w:jc w:val="both"/>
    </w:pPr>
    <w:rPr>
      <w:rFonts w:ascii="Times New Roman" w:hAnsi="Times New Roman" w:cs="Times New Roman"/>
      <w:color w:val="000000"/>
      <w:sz w:val="22"/>
    </w:rPr>
  </w:style>
  <w:style w:type="paragraph" w:styleId="Quote2">
    <w:name w:val="Quote2"/>
    <w:basedOn w:val="Normal"/>
    <w:qFormat/>
    <w:pPr>
      <w:tabs>
        <w:tab w:val="clear" w:pos="720"/>
        <w:tab w:val="left" w:pos="0" w:leader="none"/>
      </w:tabs>
      <w:ind w:hanging="0" w:start="0" w:end="720"/>
      <w:jc w:val="both"/>
    </w:pPr>
    <w:rPr>
      <w:rFonts w:ascii="Times New Roman" w:hAnsi="Times New Roman" w:cs="Times New Roman"/>
      <w:color w:val="000000"/>
      <w:sz w:val="22"/>
    </w:rPr>
  </w:style>
  <w:style w:type="paragraph" w:styleId="QuoteList">
    <w:name w:val="QuoteList"/>
    <w:basedOn w:val="Normal"/>
    <w:qFormat/>
    <w:pPr>
      <w:tabs>
        <w:tab w:val="left" w:pos="720" w:leader="none"/>
      </w:tabs>
      <w:ind w:hanging="720" w:start="720" w:end="1440"/>
      <w:jc w:val="both"/>
    </w:pPr>
    <w:rPr>
      <w:rFonts w:ascii="Times New Roman" w:hAnsi="Times New Roman" w:cs="Times New Roman"/>
      <w:color w:val="000000"/>
      <w:sz w:val="20"/>
    </w:rPr>
  </w:style>
  <w:style w:type="paragraph" w:styleId="TableFootnote">
    <w:name w:val="TableFootnote"/>
    <w:basedOn w:val="Normal"/>
    <w:qFormat/>
    <w:pPr>
      <w:tabs>
        <w:tab w:val="clear" w:pos="720"/>
        <w:tab w:val="left" w:pos="850" w:leader="none"/>
        <w:tab w:val="left" w:pos="1080" w:leader="none"/>
      </w:tabs>
      <w:ind w:hanging="230" w:start="850" w:end="360"/>
    </w:pPr>
    <w:rPr>
      <w:rFonts w:ascii="Times New Roman" w:hAnsi="Times New Roman" w:cs="Times New Roman"/>
      <w:color w:val="000000"/>
      <w:sz w:val="20"/>
    </w:rPr>
  </w:style>
  <w:style w:type="paragraph" w:styleId="TableTitle">
    <w:name w:val="TableTitle"/>
    <w:basedOn w:val="Normal"/>
    <w:qFormat/>
    <w:pPr>
      <w:jc w:val="center"/>
    </w:pPr>
    <w:rPr>
      <w:rFonts w:ascii="Times New Roman" w:hAnsi="Times New Roman" w:cs="Times New Roman"/>
      <w:b/>
      <w:color w:val="000000"/>
    </w:rPr>
  </w:style>
  <w:style w:type="paragraph" w:styleId="TabStop">
    <w:name w:val="TabStop"/>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rFonts w:ascii="Times New Roman" w:hAnsi="Times New Roman" w:cs="Times New Roman"/>
      <w:color w:val="000000"/>
      <w:sz w:val="22"/>
    </w:rPr>
  </w:style>
  <w:style w:type="paragraph" w:styleId="TitleLine">
    <w:name w:val="TitleLine"/>
    <w:basedOn w:val="Normal"/>
    <w:qFormat/>
    <w:pPr>
      <w:jc w:val="end"/>
    </w:pPr>
    <w:rPr>
      <w:smallCaps/>
      <w:color w:val="000000"/>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2001-09-14T13:06:00Z</dcterms:created>
  <dc:creator>Littler Mendelson</dc:creator>
  <dc:description/>
  <dc:language>en-CA</dc:language>
  <cp:lastModifiedBy>Littler Mendelson</cp:lastModifiedBy>
  <dcterms:modified xsi:type="dcterms:W3CDTF">2001-09-14T13:06:00Z</dcterms:modified>
  <cp:revision>2</cp:revision>
  <dc:subject/>
  <dc:title>CHAPTER 14</dc:title>
</cp:coreProperties>
</file>