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158" w:type="dxa"/>
        <w:jc w:val="start"/>
        <w:tblInd w:w="0" w:type="dxa"/>
        <w:tblLayout w:type="fixed"/>
        <w:tblCellMar>
          <w:top w:w="0" w:type="dxa"/>
          <w:start w:w="108" w:type="dxa"/>
          <w:bottom w:w="0" w:type="dxa"/>
          <w:end w:w="108" w:type="dxa"/>
        </w:tblCellMar>
      </w:tblPr>
      <w:tblGrid>
        <w:gridCol w:w="6138"/>
        <w:gridCol w:w="3780"/>
        <w:gridCol w:w="3240"/>
      </w:tblGrid>
      <w:tr>
        <w:trPr>
          <w:tblHeader w:val="true"/>
        </w:trPr>
        <w:tc>
          <w:tcPr>
            <w:tcW w:w="61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Objective</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Measured by</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Target completion</w:t>
            </w:r>
          </w:p>
        </w:tc>
      </w:tr>
      <w:tr>
        <w:trPr/>
        <w:tc>
          <w:tcPr>
            <w:tcW w:w="613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Safety &amp; Health</w:t>
            </w:r>
          </w:p>
          <w:p>
            <w:pPr>
              <w:pStyle w:val="Normal"/>
              <w:rPr>
                <w:rFonts w:ascii="Arial" w:hAnsi="Arial" w:cs="Arial"/>
              </w:rPr>
            </w:pPr>
            <w:r>
              <w:rPr>
                <w:rFonts w:cs="Arial" w:ascii="Arial" w:hAnsi="Arial"/>
              </w:rPr>
              <w:t>Ensure completion of approved elements of the ETS Three-year Safety Plan.  This represents nearly 30 separate action items and objectives to support the ETS safety objective of achieving lost time and vehicle accident incident rates that rank in the industry top quartile.</w:t>
            </w:r>
          </w:p>
        </w:tc>
        <w:tc>
          <w:tcPr>
            <w:tcW w:w="37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Quarterly review of achievements with the Managing Director.</w:t>
            </w:r>
          </w:p>
        </w:tc>
        <w:tc>
          <w:tcPr>
            <w:tcW w:w="32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December 31, 2001</w:t>
            </w:r>
          </w:p>
        </w:tc>
      </w:tr>
      <w:tr>
        <w:trPr/>
        <w:tc>
          <w:tcPr>
            <w:tcW w:w="61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Establish an on-going evaluation of employee potential exposure to various chemical and physical agents in the work place.  This will be accomplished through the hiring of a certified industrial hygienist during the first quarter, and obtaining and providing the necessary management support for completion of a written program. </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Interview and hire the IH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IH perform preliminary analysis of exposure priorities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Publish draft “Health” Manual</w:t>
            </w:r>
          </w:p>
        </w:tc>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March 31,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August 1,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December 31, 2001</w:t>
            </w:r>
          </w:p>
          <w:p>
            <w:pPr>
              <w:pStyle w:val="Normal"/>
              <w:rPr>
                <w:rFonts w:ascii="Arial" w:hAnsi="Arial" w:cs="Arial"/>
              </w:rPr>
            </w:pPr>
            <w:r>
              <w:rPr>
                <w:rFonts w:cs="Arial" w:ascii="Arial" w:hAnsi="Arial"/>
              </w:rPr>
            </w:r>
          </w:p>
        </w:tc>
      </w:tr>
      <w:tr>
        <w:trPr/>
        <w:tc>
          <w:tcPr>
            <w:tcW w:w="61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Implement enhancements to the Crisis Support Team program and process.  Conduct a training and orientation session for the team.</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Achieve deliverable on or before due date.</w:t>
            </w:r>
          </w:p>
        </w:tc>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May 1, 2001</w:t>
            </w:r>
          </w:p>
        </w:tc>
      </w:tr>
      <w:tr>
        <w:trPr/>
        <w:tc>
          <w:tcPr>
            <w:tcW w:w="613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Pipeline Safety</w:t>
            </w:r>
          </w:p>
          <w:p>
            <w:pPr>
              <w:pStyle w:val="Normal"/>
              <w:rPr>
                <w:rFonts w:ascii="Arial" w:hAnsi="Arial" w:cs="Arial"/>
              </w:rPr>
            </w:pPr>
            <w:r>
              <w:rPr>
                <w:rFonts w:cs="Arial" w:ascii="Arial" w:hAnsi="Arial"/>
              </w:rPr>
              <w:t>Complete development of the Operator Qualification plan as required by the regulation.</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Timely completion of plan</w:t>
            </w:r>
          </w:p>
        </w:tc>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Completed by March 31, 2001</w:t>
            </w:r>
          </w:p>
          <w:p>
            <w:pPr>
              <w:pStyle w:val="Normal"/>
              <w:rPr>
                <w:rFonts w:ascii="Arial" w:hAnsi="Arial" w:cs="Arial"/>
              </w:rPr>
            </w:pPr>
            <w:r>
              <w:rPr>
                <w:rFonts w:cs="Arial" w:ascii="Arial" w:hAnsi="Arial"/>
              </w:rPr>
              <w:t xml:space="preserve">Begin implementation by </w:t>
            </w:r>
          </w:p>
          <w:p>
            <w:pPr>
              <w:pStyle w:val="Normal"/>
              <w:rPr>
                <w:rFonts w:ascii="Arial" w:hAnsi="Arial" w:cs="Arial"/>
              </w:rPr>
            </w:pPr>
            <w:r>
              <w:rPr>
                <w:rFonts w:cs="Arial" w:ascii="Arial" w:hAnsi="Arial"/>
              </w:rPr>
              <w:t>April 27, 2001</w:t>
            </w:r>
          </w:p>
        </w:tc>
      </w:tr>
      <w:tr>
        <w:trPr/>
        <w:tc>
          <w:tcPr>
            <w:tcW w:w="61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Through participation and leadership of the Pipeline Safety Committee in INGAA, and in conjunction with our Legislative Affairs staff, provide guidance for proposed Pipeline Safety Legislation that supports the INGAA Pipeline Safety position.  Also, participate in the pipelines safety efforts of the AOPL.</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Establish leadership role as chair, vice-chair, etc.</w:t>
            </w:r>
          </w:p>
        </w:tc>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December 31, 2001</w:t>
            </w:r>
          </w:p>
        </w:tc>
      </w:tr>
      <w:tr>
        <w:trPr/>
        <w:tc>
          <w:tcPr>
            <w:tcW w:w="613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Environmental</w:t>
            </w:r>
          </w:p>
          <w:p>
            <w:pPr>
              <w:pStyle w:val="Normal"/>
              <w:rPr>
                <w:rFonts w:ascii="Arial" w:hAnsi="Arial" w:cs="Arial"/>
              </w:rPr>
            </w:pPr>
            <w:r>
              <w:rPr>
                <w:rFonts w:cs="Arial" w:ascii="Arial" w:hAnsi="Arial"/>
              </w:rPr>
              <w:t>Continue the development of a compliance program that reduces the number of NOV’s, NOC’s, and penalties assessed by agencies, compared to those received in year 2000.</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Number reduced by 20% over previous year</w:t>
            </w:r>
          </w:p>
        </w:tc>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December 31, 2001</w:t>
            </w:r>
          </w:p>
        </w:tc>
      </w:tr>
      <w:tr>
        <w:trPr/>
        <w:tc>
          <w:tcPr>
            <w:tcW w:w="61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u w:val="single"/>
              </w:rPr>
            </w:pPr>
            <w:r>
              <w:rPr>
                <w:rFonts w:cs="Arial" w:ascii="Arial" w:hAnsi="Arial"/>
                <w:b/>
                <w:u w:val="single"/>
              </w:rPr>
              <w:t>General</w:t>
            </w:r>
          </w:p>
          <w:p>
            <w:pPr>
              <w:pStyle w:val="Normal"/>
              <w:rPr>
                <w:rFonts w:ascii="Arial" w:hAnsi="Arial" w:cs="Arial"/>
              </w:rPr>
            </w:pPr>
            <w:r>
              <w:rPr>
                <w:rFonts w:cs="Arial" w:ascii="Arial" w:hAnsi="Arial"/>
              </w:rPr>
              <w:t>Continue to strategically develop and implement a proactive program with environmental groups and organizations (e.g., The Nature Conservancy, Ducks Unlimited, Bat Conservation International, Trees for Tomorrow, Wild Turkey Federation, Governor’s Council for Sustainable Florida).</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Implement partnership with The Nature Conservancy in first quarter of year.  TFT effort by second quarter, BCI partnership by third quarter and one other conservation effort by fourth quarter.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December 31, 2001 </w:t>
            </w:r>
          </w:p>
        </w:tc>
      </w:tr>
      <w:tr>
        <w:trPr/>
        <w:tc>
          <w:tcPr>
            <w:tcW w:w="61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Support the domestic Operations Assessment Program and the International Audit Program by supplying the necessary resources to meet their goals.</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Supply expertise to support over 40 domestic audits and necessary international audits.</w:t>
            </w:r>
          </w:p>
        </w:tc>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December 31, 2001</w:t>
            </w:r>
          </w:p>
        </w:tc>
      </w:tr>
      <w:tr>
        <w:trPr/>
        <w:tc>
          <w:tcPr>
            <w:tcW w:w="61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Continue to strategically develop public Outreach and Community Alliance Committee efforts across ETS Operation System.</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Committee becomes active in first quarter.  Promotion of a project in each quarter.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December 31, 2001</w:t>
            </w:r>
          </w:p>
        </w:tc>
      </w:tr>
    </w:tbl>
    <w:p>
      <w:pPr>
        <w:pStyle w:val="Normal"/>
        <w:rPr/>
      </w:pPr>
      <w:r>
        <w:rPr/>
      </w:r>
    </w:p>
    <w:sectPr>
      <w:headerReference w:type="default" r:id="rId2"/>
      <w:footerReference w:type="default" r:id="rId3"/>
      <w:type w:val="nextPage"/>
      <w:pgSz w:orient="landscape" w:w="15840" w:h="12240"/>
      <w:pgMar w:left="1440" w:right="1440" w:gutter="0" w:header="720" w:top="135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64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jc w:val="center"/>
      <w:rPr>
        <w:rFonts w:ascii="Arial" w:hAnsi="Arial" w:cs="Arial"/>
        <w:b/>
        <w:sz w:val="22"/>
      </w:rPr>
    </w:pPr>
    <w:r>
      <w:rPr>
        <w:rFonts w:cs="Arial" w:ascii="Arial" w:hAnsi="Arial"/>
        <w:b/>
        <w:sz w:val="22"/>
      </w:rPr>
      <w:t>2001 ETS Environmental, Health &amp; Safety Objectives</w:t>
    </w:r>
  </w:p>
  <w:p>
    <w:pPr>
      <w:pStyle w:val="Header"/>
      <w:rPr>
        <w:rFonts w:ascii="Arial" w:hAnsi="Arial" w:cs="Arial"/>
        <w:b/>
        <w:sz w:val="22"/>
      </w:rPr>
    </w:pPr>
    <w:r>
      <w:rPr>
        <w:rFonts w:cs="Arial" w:ascii="Arial" w:hAnsi="Arial"/>
        <w:b/>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u w:val="single"/>
    </w:rPr>
  </w:style>
  <w:style w:type="paragraph" w:styleId="Heading2">
    <w:name w:val="heading 2"/>
    <w:basedOn w:val="Normal"/>
    <w:next w:val="Normal"/>
    <w:qFormat/>
    <w:pPr>
      <w:keepNext w:val="true"/>
      <w:numPr>
        <w:ilvl w:val="1"/>
        <w:numId w:val="1"/>
      </w:numPr>
      <w:outlineLvl w:val="1"/>
    </w:pPr>
    <w:rPr>
      <w:rFonts w:ascii="Arial" w:hAnsi="Arial" w:cs="Arial"/>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2001-02-12T19:25:00Z</dcterms:created>
  <dc:creator>LGLENN</dc:creator>
  <dc:description/>
  <dc:language>en-CA</dc:language>
  <cp:lastModifiedBy>jshafer</cp:lastModifiedBy>
  <cp:lastPrinted>2001-02-09T08:32:00Z</cp:lastPrinted>
  <dcterms:modified xsi:type="dcterms:W3CDTF">2001-02-12T19:25:00Z</dcterms:modified>
  <cp:revision>2</cp:revision>
  <dc:subject/>
  <dc:title>2000 GPG Environmental, Health &amp; Safety Objectives</dc:title>
</cp:coreProperties>
</file>