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90" w:end="0"/>
        <w:jc w:val="start"/>
        <w:rPr>
          <w:sz w:val="26"/>
        </w:rPr>
      </w:pPr>
      <w:r>
        <w:rPr>
          <w:spacing w:val="-140"/>
          <w:sz w:val="72"/>
        </w:rPr>
        <w:drawing>
          <wp:inline distT="0" distB="0" distL="0" distR="0">
            <wp:extent cx="5894070" cy="727075"/>
            <wp:effectExtent l="0" t="0" r="0" b="0"/>
            <wp:docPr id="1" name="IEPA%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PA%20logo" descr="" title=""/>
                    <pic:cNvPicPr>
                      <a:picLocks noChangeAspect="1" noChangeArrowheads="1"/>
                    </pic:cNvPicPr>
                  </pic:nvPicPr>
                  <pic:blipFill>
                    <a:blip r:embed="rId2"/>
                    <a:srcRect l="-5" t="-39" r="-5" b="-39"/>
                    <a:stretch>
                      <a:fillRect/>
                    </a:stretch>
                  </pic:blipFill>
                  <pic:spPr bwMode="auto">
                    <a:xfrm>
                      <a:off x="0" y="0"/>
                      <a:ext cx="5894070" cy="727075"/>
                    </a:xfrm>
                    <a:prstGeom prst="rect">
                      <a:avLst/>
                    </a:prstGeom>
                    <a:noFill/>
                  </pic:spPr>
                </pic:pic>
              </a:graphicData>
            </a:graphic>
          </wp:inline>
        </w:drawing>
      </w:r>
      <w:r>
        <w:rPr/>
        <w:t xml:space="preserve">                                                                                             </w:t>
      </w:r>
    </w:p>
    <w:p>
      <w:pPr>
        <w:pStyle w:val="Heading3"/>
        <w:ind w:hanging="0" w:start="0"/>
        <w:jc w:val="both"/>
        <w:rPr/>
      </w:pPr>
      <w:r>
        <w:rPr/>
        <w:t>To:</w:t>
        <w:tab/>
        <w:t xml:space="preserve"> </w:t>
      </w:r>
      <w:r>
        <w:rPr>
          <w:szCs w:val="24"/>
        </w:rPr>
        <w:t>2001 Public Affairs Committee</w:t>
      </w:r>
    </w:p>
    <w:p>
      <w:pPr>
        <w:pStyle w:val="Heading2"/>
        <w:ind w:hanging="0" w:start="0"/>
        <w:jc w:val="both"/>
        <w:rPr/>
      </w:pPr>
      <w:r>
        <w:rPr>
          <w:b w:val="false"/>
          <w:bCs w:val="false"/>
          <w:sz w:val="28"/>
        </w:rPr>
        <w:t xml:space="preserve">From:  </w:t>
      </w:r>
      <w:r>
        <w:rPr>
          <w:b w:val="false"/>
          <w:bCs w:val="false"/>
          <w:sz w:val="28"/>
          <w:szCs w:val="24"/>
        </w:rPr>
        <w:t>Katie Kaplan, Manager of State Policy Affairs, IEP</w:t>
      </w:r>
    </w:p>
    <w:p>
      <w:pPr>
        <w:pStyle w:val="Normal"/>
        <w:jc w:val="both"/>
        <w:rPr>
          <w:sz w:val="28"/>
        </w:rPr>
      </w:pPr>
      <w:r>
        <w:rPr>
          <w:sz w:val="28"/>
        </w:rPr>
        <w:t>Date:</w:t>
        <w:tab/>
        <w:t xml:space="preserve"> April 15 , 2001</w:t>
      </w:r>
    </w:p>
    <w:p>
      <w:pPr>
        <w:pStyle w:val="Heading3"/>
        <w:ind w:hanging="0" w:start="0"/>
        <w:jc w:val="both"/>
        <w:rPr>
          <w:b/>
        </w:rPr>
      </w:pPr>
      <w:r>
        <w:rPr/>
        <w:t>RE:</w:t>
        <w:tab/>
        <w:t xml:space="preserve"> IEP Public Affairs Committee 2001 Remaining Budget</w:t>
      </w:r>
    </w:p>
    <w:p>
      <w:pPr>
        <w:pStyle w:val="Normal"/>
        <w:jc w:val="both"/>
        <w:rPr>
          <w:b/>
          <w:sz w:val="28"/>
          <w:lang w:val="en-CA" w:eastAsia="en-CA"/>
        </w:rPr>
      </w:pPr>
      <w:r>
        <w:rPr>
          <w:b/>
          <w:sz w:val="28"/>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86360</wp:posOffset>
                </wp:positionV>
                <wp:extent cx="5829300" cy="6350"/>
                <wp:effectExtent l="635" t="5080" r="635" b="5080"/>
                <wp:wrapNone/>
                <wp:docPr id="2" name=""/>
                <a:graphic xmlns:a="http://schemas.openxmlformats.org/drawingml/2006/main">
                  <a:graphicData uri="http://schemas.microsoft.com/office/word/2010/wordprocessingShape">
                    <wps:wsp>
                      <wps:cNvSpPr/>
                      <wps:spPr>
                        <a:xfrm flipV="1">
                          <a:off x="0" y="0"/>
                          <a:ext cx="5829480" cy="6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8pt" to="458.95pt,7.25pt" stroked="t" o:allowincell="f" style="position:absolute;flip:y">
                <v:stroke color="black" weight="9360" joinstyle="miter" endcap="flat"/>
                <v:fill o:detectmouseclick="t" on="false"/>
                <w10:wrap type="none"/>
              </v:line>
            </w:pict>
          </mc:Fallback>
        </mc:AlternateContent>
      </w:r>
    </w:p>
    <w:p>
      <w:pPr>
        <w:pStyle w:val="Normal"/>
        <w:jc w:val="both"/>
        <w:rPr>
          <w:b/>
          <w:sz w:val="28"/>
        </w:rPr>
      </w:pPr>
      <w:r>
        <w:rPr>
          <w:b/>
          <w:sz w:val="28"/>
        </w:rPr>
      </w:r>
    </w:p>
    <w:p>
      <w:pPr>
        <w:pStyle w:val="BodyText"/>
        <w:jc w:val="both"/>
        <w:rPr/>
      </w:pPr>
      <w:r>
        <w:rPr/>
        <w:t>During the first quarter of 2001 the IEP Public Affairs committee has been operating utilizing the remaining funds from 2000. Beginning in the second quarter we have established an advisory budget in which we will operate within for the remainder of 2001.  If special circumstances arise this summer we will need to reevaluate the below.</w:t>
      </w:r>
    </w:p>
    <w:p>
      <w:pPr>
        <w:pStyle w:val="Normal"/>
        <w:jc w:val="both"/>
        <w:rPr>
          <w:bCs/>
          <w:sz w:val="28"/>
        </w:rPr>
      </w:pPr>
      <w:r>
        <w:rPr>
          <w:bCs/>
          <w:sz w:val="28"/>
        </w:rPr>
      </w:r>
    </w:p>
    <w:p>
      <w:pPr>
        <w:pStyle w:val="Normal"/>
        <w:jc w:val="both"/>
        <w:rPr>
          <w:bCs/>
          <w:sz w:val="28"/>
        </w:rPr>
      </w:pPr>
      <w:r>
        <w:rPr>
          <w:bCs/>
          <w:sz w:val="28"/>
        </w:rPr>
        <w:t>Below the budget there is a line item description of each in which a detailed explanation is provided.</w:t>
      </w:r>
    </w:p>
    <w:p>
      <w:pPr>
        <w:pStyle w:val="Normal"/>
        <w:jc w:val="both"/>
        <w:rPr>
          <w:b/>
          <w:bCs/>
          <w:sz w:val="28"/>
        </w:rPr>
      </w:pPr>
      <w:r>
        <w:rPr>
          <w:b/>
          <w:bCs/>
          <w:sz w:val="28"/>
        </w:rPr>
      </w:r>
    </w:p>
    <w:p>
      <w:pPr>
        <w:pStyle w:val="Normal"/>
        <w:jc w:val="both"/>
        <w:rPr>
          <w:b/>
          <w:sz w:val="28"/>
        </w:rPr>
      </w:pPr>
      <w:r>
        <w:rPr>
          <w:b/>
          <w:sz w:val="28"/>
        </w:rPr>
        <w:t>Budget Recommendations April-December 2001:</w:t>
      </w:r>
    </w:p>
    <w:p>
      <w:pPr>
        <w:pStyle w:val="Normal"/>
        <w:jc w:val="both"/>
        <w:rPr>
          <w:b/>
          <w:sz w:val="28"/>
        </w:rPr>
      </w:pPr>
      <w:r>
        <w:rPr>
          <w:b/>
          <w:sz w:val="28"/>
        </w:rPr>
      </w:r>
    </w:p>
    <w:p>
      <w:pPr>
        <w:pStyle w:val="Normal"/>
        <w:numPr>
          <w:ilvl w:val="0"/>
          <w:numId w:val="2"/>
        </w:numPr>
        <w:jc w:val="both"/>
        <w:rPr>
          <w:bCs/>
          <w:sz w:val="28"/>
        </w:rPr>
      </w:pPr>
      <w:r>
        <w:rPr>
          <w:bCs/>
          <w:sz w:val="28"/>
        </w:rPr>
        <w:t>The residual budget for 2000 is $154,000.</w:t>
      </w:r>
    </w:p>
    <w:p>
      <w:pPr>
        <w:pStyle w:val="Normal"/>
        <w:numPr>
          <w:ilvl w:val="0"/>
          <w:numId w:val="2"/>
        </w:numPr>
        <w:jc w:val="both"/>
        <w:rPr>
          <w:sz w:val="28"/>
        </w:rPr>
      </w:pPr>
      <w:r>
        <w:rPr>
          <w:b/>
          <w:sz w:val="28"/>
        </w:rPr>
        <w:t xml:space="preserve">The costs incurred for January – March of 2001 is approximately $135,000.  </w:t>
      </w:r>
    </w:p>
    <w:p>
      <w:pPr>
        <w:pStyle w:val="Normal"/>
        <w:numPr>
          <w:ilvl w:val="0"/>
          <w:numId w:val="2"/>
        </w:numPr>
        <w:jc w:val="both"/>
        <w:rPr>
          <w:sz w:val="28"/>
        </w:rPr>
      </w:pPr>
      <w:r>
        <w:rPr>
          <w:bCs/>
          <w:sz w:val="28"/>
        </w:rPr>
        <w:t xml:space="preserve">The remaining $20,000 will be applied to the below budget. </w:t>
      </w:r>
    </w:p>
    <w:p>
      <w:pPr>
        <w:pStyle w:val="Normal"/>
        <w:ind w:start="360" w:end="0"/>
        <w:jc w:val="both"/>
        <w:rPr>
          <w:sz w:val="28"/>
        </w:rPr>
      </w:pPr>
      <w:r>
        <w:rPr>
          <w:sz w:val="28"/>
        </w:rPr>
      </w:r>
    </w:p>
    <w:p>
      <w:pPr>
        <w:pStyle w:val="Heading1"/>
        <w:pBdr>
          <w:top w:val="single" w:sz="4" w:space="1" w:color="000000"/>
          <w:left w:val="single" w:sz="4" w:space="4" w:color="000000"/>
          <w:bottom w:val="single" w:sz="4" w:space="1" w:color="000000"/>
          <w:right w:val="single" w:sz="4" w:space="2" w:color="000000"/>
        </w:pBdr>
        <w:ind w:hanging="0" w:start="0"/>
        <w:rPr/>
      </w:pPr>
      <w:r>
        <w:rPr/>
        <w:t>PR Retainer</w:t>
        <w:tab/>
        <w:tab/>
        <w:tab/>
        <w:tab/>
        <w:tab/>
        <w:tab/>
        <w:tab/>
        <w:tab/>
        <w:tab/>
        <w:tab/>
        <w:t>$90,000</w:t>
      </w:r>
    </w:p>
    <w:p>
      <w:pPr>
        <w:pStyle w:val="Heading3"/>
        <w:pBdr>
          <w:top w:val="single" w:sz="4" w:space="1" w:color="000000"/>
          <w:left w:val="single" w:sz="4" w:space="4" w:color="000000"/>
          <w:bottom w:val="single" w:sz="4" w:space="1" w:color="000000"/>
          <w:right w:val="single" w:sz="4" w:space="2" w:color="000000"/>
        </w:pBdr>
        <w:ind w:hanging="0" w:start="0"/>
        <w:jc w:val="both"/>
        <w:rPr>
          <w:szCs w:val="24"/>
        </w:rPr>
      </w:pPr>
      <w:r>
        <w:rPr>
          <w:szCs w:val="24"/>
        </w:rPr>
        <w:t>PR Related Materials</w:t>
        <w:tab/>
        <w:tab/>
        <w:tab/>
        <w:tab/>
        <w:tab/>
        <w:tab/>
        <w:tab/>
        <w:tab/>
        <w:t>$60,000</w:t>
      </w:r>
    </w:p>
    <w:p>
      <w:pPr>
        <w:pStyle w:val="Normal"/>
        <w:pBdr>
          <w:top w:val="single" w:sz="4" w:space="1" w:color="000000"/>
          <w:left w:val="single" w:sz="4" w:space="4" w:color="000000"/>
          <w:bottom w:val="single" w:sz="4" w:space="1" w:color="000000"/>
          <w:right w:val="single" w:sz="4" w:space="2" w:color="000000"/>
        </w:pBdr>
        <w:jc w:val="both"/>
        <w:rPr>
          <w:sz w:val="28"/>
        </w:rPr>
      </w:pPr>
      <w:r>
        <w:rPr>
          <w:sz w:val="28"/>
        </w:rPr>
        <w:t>Powerful Ideas</w:t>
        <w:tab/>
        <w:tab/>
        <w:tab/>
        <w:tab/>
        <w:tab/>
        <w:tab/>
        <w:tab/>
        <w:tab/>
        <w:tab/>
        <w:t>$30,000</w:t>
      </w:r>
    </w:p>
    <w:p>
      <w:pPr>
        <w:pStyle w:val="Heading3"/>
        <w:pBdr>
          <w:top w:val="single" w:sz="4" w:space="1" w:color="000000"/>
          <w:left w:val="single" w:sz="4" w:space="4" w:color="000000"/>
          <w:bottom w:val="single" w:sz="4" w:space="1" w:color="000000"/>
          <w:right w:val="single" w:sz="4" w:space="2" w:color="000000"/>
        </w:pBdr>
        <w:ind w:hanging="0" w:start="0"/>
        <w:jc w:val="both"/>
        <w:rPr>
          <w:szCs w:val="24"/>
        </w:rPr>
      </w:pPr>
      <w:r>
        <w:rPr/>
        <w:t>Technical Support</w:t>
        <w:tab/>
        <w:t>(MRW/others)</w:t>
        <w:tab/>
        <w:tab/>
        <w:tab/>
        <w:tab/>
        <w:tab/>
        <w:tab/>
        <w:t>$100,000</w:t>
      </w:r>
    </w:p>
    <w:p>
      <w:pPr>
        <w:pStyle w:val="Heading3"/>
        <w:pBdr>
          <w:top w:val="single" w:sz="4" w:space="1" w:color="000000"/>
          <w:left w:val="single" w:sz="4" w:space="4" w:color="000000"/>
          <w:bottom w:val="single" w:sz="4" w:space="1" w:color="000000"/>
          <w:right w:val="single" w:sz="4" w:space="2" w:color="000000"/>
        </w:pBdr>
        <w:ind w:hanging="0" w:start="0"/>
        <w:jc w:val="both"/>
        <w:rPr>
          <w:szCs w:val="24"/>
        </w:rPr>
      </w:pPr>
      <w:r>
        <w:rPr>
          <w:szCs w:val="24"/>
        </w:rPr>
        <w:t>Polling/Focus Groups</w:t>
        <w:tab/>
        <w:tab/>
        <w:tab/>
        <w:tab/>
        <w:tab/>
        <w:tab/>
        <w:tab/>
        <w:tab/>
        <w:t>$80,000</w:t>
      </w:r>
    </w:p>
    <w:p>
      <w:pPr>
        <w:pStyle w:val="Heading3"/>
        <w:pBdr>
          <w:top w:val="single" w:sz="4" w:space="1" w:color="000000"/>
          <w:left w:val="single" w:sz="4" w:space="4" w:color="000000"/>
          <w:bottom w:val="single" w:sz="4" w:space="1" w:color="000000"/>
          <w:right w:val="single" w:sz="4" w:space="2" w:color="000000"/>
        </w:pBdr>
        <w:ind w:hanging="0" w:start="0"/>
        <w:jc w:val="both"/>
        <w:rPr>
          <w:szCs w:val="24"/>
        </w:rPr>
      </w:pPr>
      <w:r>
        <w:rPr>
          <w:szCs w:val="24"/>
        </w:rPr>
        <w:t>Committed Ads (California Journal/ Rough &amp; Tumble)</w:t>
        <w:tab/>
        <w:tab/>
        <w:tab/>
        <w:t>$50,000</w:t>
      </w:r>
    </w:p>
    <w:p>
      <w:pPr>
        <w:pStyle w:val="Heading5"/>
        <w:pBdr>
          <w:top w:val="single" w:sz="4" w:space="1" w:color="000000"/>
          <w:left w:val="single" w:sz="4" w:space="4" w:color="000000"/>
          <w:bottom w:val="single" w:sz="4" w:space="1" w:color="000000"/>
          <w:right w:val="single" w:sz="4" w:space="2" w:color="000000"/>
        </w:pBdr>
        <w:ind w:hanging="0" w:start="0"/>
        <w:jc w:val="both"/>
        <w:rPr>
          <w:u w:val="none"/>
        </w:rPr>
      </w:pPr>
      <w:r>
        <w:rPr>
          <w:u w:val="none"/>
        </w:rPr>
        <w:t>Administrative issues (conference calls etc)</w:t>
        <w:tab/>
        <w:tab/>
        <w:tab/>
        <w:tab/>
        <w:tab/>
        <w:t>$15,000</w:t>
      </w:r>
    </w:p>
    <w:p>
      <w:pPr>
        <w:pStyle w:val="Heading6"/>
        <w:pBdr>
          <w:top w:val="single" w:sz="4" w:space="1" w:color="000000"/>
          <w:left w:val="single" w:sz="4" w:space="4" w:color="000000"/>
          <w:bottom w:val="single" w:sz="4" w:space="1" w:color="000000"/>
          <w:right w:val="single" w:sz="4" w:space="2" w:color="000000"/>
        </w:pBdr>
        <w:ind w:hanging="0" w:start="0"/>
        <w:jc w:val="both"/>
        <w:rPr>
          <w:highlight w:val="lightGray"/>
        </w:rPr>
      </w:pPr>
      <w:r>
        <w:rPr>
          <w:highlight w:val="lightGray"/>
        </w:rPr>
        <w:t>Total:</w:t>
        <w:tab/>
        <w:tab/>
        <w:tab/>
        <w:tab/>
        <w:tab/>
        <w:tab/>
        <w:tab/>
        <w:tab/>
        <w:tab/>
        <w:tab/>
        <w:t>$425,000</w:t>
      </w:r>
    </w:p>
    <w:p>
      <w:pPr>
        <w:pStyle w:val="Normal"/>
        <w:jc w:val="both"/>
        <w:rPr>
          <w:sz w:val="28"/>
        </w:rPr>
      </w:pPr>
      <w:r>
        <w:rPr>
          <w:sz w:val="28"/>
        </w:rPr>
      </w:r>
    </w:p>
    <w:p>
      <w:pPr>
        <w:pStyle w:val="Normal"/>
        <w:jc w:val="both"/>
        <w:rPr>
          <w:sz w:val="28"/>
        </w:rPr>
      </w:pPr>
      <w:r>
        <w:rPr>
          <w:sz w:val="28"/>
        </w:rPr>
        <w:t>The recommendation is that whatever the approved budget may be it should be allocated on a pro-rata basis to the participants of the Public Affairs Committee. At this time membership includes: Calpine, Constellation, Duke, Dynegy, Enron, Reliant and Williams. Based on the below budget the total commitment for each company is approximately  $60,000.  IEP will send out invoices as soon as the committee approves the budget.</w:t>
      </w:r>
    </w:p>
    <w:p>
      <w:pPr>
        <w:pStyle w:val="Normal"/>
        <w:jc w:val="both"/>
        <w:rPr>
          <w:sz w:val="28"/>
        </w:rPr>
      </w:pPr>
      <w:r>
        <w:rPr>
          <w:sz w:val="28"/>
        </w:rPr>
      </w:r>
    </w:p>
    <w:p>
      <w:pPr>
        <w:pStyle w:val="Footer"/>
        <w:tabs>
          <w:tab w:val="clear" w:pos="4320"/>
          <w:tab w:val="clear" w:pos="8640"/>
        </w:tabs>
        <w:ind w:hanging="2160" w:start="2160" w:end="0"/>
        <w:jc w:val="both"/>
        <w:rPr>
          <w:rFonts w:ascii="Times New Roman" w:hAnsi="Times New Roman" w:cs="Times New Roman"/>
          <w:sz w:val="28"/>
          <w:szCs w:val="24"/>
        </w:rPr>
      </w:pPr>
      <w:r>
        <w:rPr>
          <w:rFonts w:cs="Times New Roman" w:ascii="Times New Roman" w:hAnsi="Times New Roman"/>
          <w:sz w:val="28"/>
          <w:szCs w:val="24"/>
        </w:rPr>
      </w:r>
    </w:p>
    <w:p>
      <w:pPr>
        <w:pStyle w:val="Footer"/>
        <w:tabs>
          <w:tab w:val="clear" w:pos="4320"/>
          <w:tab w:val="clear" w:pos="8640"/>
        </w:tabs>
        <w:ind w:hanging="2880" w:start="2880" w:end="0"/>
        <w:jc w:val="both"/>
        <w:rPr/>
      </w:pPr>
      <w:r>
        <w:rPr>
          <w:rFonts w:cs="Times New Roman" w:ascii="Times New Roman" w:hAnsi="Times New Roman"/>
          <w:b/>
          <w:bCs/>
          <w:sz w:val="28"/>
          <w:szCs w:val="24"/>
        </w:rPr>
        <w:t>PR Retainer:</w:t>
      </w:r>
      <w:r>
        <w:rPr>
          <w:rFonts w:cs="Times New Roman" w:ascii="Times New Roman" w:hAnsi="Times New Roman"/>
          <w:sz w:val="28"/>
          <w:szCs w:val="24"/>
        </w:rPr>
        <w:tab/>
        <w:t xml:space="preserve">IEP has a contract with McNally/Temple Associates in which a monthly retainer of $10,000 covers most PR (media, message development, and some basic artwork) related activities.  For large projects such as </w:t>
      </w:r>
      <w:r>
        <w:rPr>
          <w:rFonts w:cs="Times New Roman" w:ascii="Times New Roman" w:hAnsi="Times New Roman"/>
          <w:i/>
          <w:iCs/>
          <w:sz w:val="28"/>
          <w:szCs w:val="24"/>
        </w:rPr>
        <w:t xml:space="preserve">Powerful Ideas </w:t>
      </w:r>
      <w:r>
        <w:rPr>
          <w:rFonts w:cs="Times New Roman" w:ascii="Times New Roman" w:hAnsi="Times New Roman"/>
          <w:sz w:val="28"/>
          <w:szCs w:val="24"/>
        </w:rPr>
        <w:t>an additional amount for artwork development time is charged on a project-by-project basis.</w:t>
      </w:r>
    </w:p>
    <w:p>
      <w:pPr>
        <w:pStyle w:val="Footer"/>
        <w:tabs>
          <w:tab w:val="clear" w:pos="4320"/>
          <w:tab w:val="clear" w:pos="8640"/>
        </w:tabs>
        <w:ind w:hanging="2880" w:start="2880" w:end="0"/>
        <w:jc w:val="both"/>
        <w:rPr>
          <w:rFonts w:ascii="Times New Roman" w:hAnsi="Times New Roman" w:cs="Times New Roman"/>
          <w:sz w:val="28"/>
          <w:szCs w:val="24"/>
        </w:rPr>
      </w:pPr>
      <w:r>
        <w:rPr>
          <w:rFonts w:cs="Times New Roman" w:ascii="Times New Roman" w:hAnsi="Times New Roman"/>
          <w:sz w:val="28"/>
          <w:szCs w:val="24"/>
        </w:rPr>
      </w:r>
    </w:p>
    <w:p>
      <w:pPr>
        <w:pStyle w:val="Footer"/>
        <w:tabs>
          <w:tab w:val="clear" w:pos="4320"/>
          <w:tab w:val="clear" w:pos="8640"/>
        </w:tabs>
        <w:ind w:hanging="2880" w:start="2880" w:end="0"/>
        <w:jc w:val="both"/>
        <w:rPr/>
      </w:pPr>
      <w:r>
        <w:rPr>
          <w:rFonts w:cs="Times New Roman" w:ascii="Times New Roman" w:hAnsi="Times New Roman"/>
          <w:b/>
          <w:bCs/>
          <w:sz w:val="28"/>
          <w:szCs w:val="24"/>
        </w:rPr>
        <w:t>PR Related Materials:</w:t>
      </w:r>
      <w:r>
        <w:rPr>
          <w:rFonts w:cs="Times New Roman" w:ascii="Times New Roman" w:hAnsi="Times New Roman"/>
          <w:sz w:val="28"/>
          <w:szCs w:val="24"/>
        </w:rPr>
        <w:tab/>
        <w:t xml:space="preserve">This includes any development and/or distributions we do relating to our PR activities including distributions to the capitol and the press core (Each distribution is approximately $1000. This also includes reproduction and printing of materials used in our efforts (such as legislative meetings, investigations, etc.) All design and review related to the website, </w:t>
      </w:r>
      <w:r>
        <w:rPr>
          <w:rFonts w:cs="Times New Roman" w:ascii="Times New Roman" w:hAnsi="Times New Roman"/>
          <w:sz w:val="28"/>
          <w:szCs w:val="24"/>
          <w:u w:val="single"/>
        </w:rPr>
        <w:t>www.turnonthetruth.com</w:t>
      </w:r>
      <w:r>
        <w:rPr>
          <w:rFonts w:cs="Times New Roman" w:ascii="Times New Roman" w:hAnsi="Times New Roman"/>
          <w:sz w:val="28"/>
          <w:szCs w:val="24"/>
        </w:rPr>
        <w:t xml:space="preserve">.  All administrative activities such as travel, mailing, phone calls (weekly press availabilities) etc. </w:t>
      </w:r>
    </w:p>
    <w:p>
      <w:pPr>
        <w:pStyle w:val="Footer"/>
        <w:tabs>
          <w:tab w:val="clear" w:pos="4320"/>
          <w:tab w:val="clear" w:pos="8640"/>
        </w:tabs>
        <w:ind w:hanging="2880" w:start="2880" w:end="0"/>
        <w:jc w:val="both"/>
        <w:rPr>
          <w:rFonts w:ascii="Times New Roman" w:hAnsi="Times New Roman" w:cs="Times New Roman"/>
          <w:b/>
          <w:bCs/>
          <w:sz w:val="28"/>
          <w:szCs w:val="24"/>
        </w:rPr>
      </w:pPr>
      <w:r>
        <w:rPr>
          <w:rFonts w:cs="Times New Roman" w:ascii="Times New Roman" w:hAnsi="Times New Roman"/>
          <w:b/>
          <w:bCs/>
          <w:sz w:val="28"/>
          <w:szCs w:val="24"/>
        </w:rPr>
      </w:r>
    </w:p>
    <w:p>
      <w:pPr>
        <w:pStyle w:val="Footer"/>
        <w:tabs>
          <w:tab w:val="clear" w:pos="4320"/>
          <w:tab w:val="clear" w:pos="8640"/>
        </w:tabs>
        <w:ind w:hanging="2880" w:start="2880" w:end="0"/>
        <w:jc w:val="both"/>
        <w:rPr/>
      </w:pPr>
      <w:r>
        <w:rPr>
          <w:rFonts w:cs="Times New Roman" w:ascii="Times New Roman" w:hAnsi="Times New Roman"/>
          <w:b/>
          <w:bCs/>
          <w:sz w:val="28"/>
          <w:szCs w:val="24"/>
        </w:rPr>
        <w:t>Powerful Ideas:</w:t>
      </w:r>
      <w:r>
        <w:rPr>
          <w:rFonts w:cs="Times New Roman" w:ascii="Times New Roman" w:hAnsi="Times New Roman"/>
          <w:sz w:val="28"/>
          <w:szCs w:val="24"/>
        </w:rPr>
        <w:tab/>
        <w:t xml:space="preserve">This budget covers the art/layout development and printing of the 64-page color document, which is a revision of the original </w:t>
      </w:r>
      <w:r>
        <w:rPr>
          <w:rFonts w:cs="Times New Roman" w:ascii="Times New Roman" w:hAnsi="Times New Roman"/>
          <w:i/>
          <w:iCs/>
          <w:sz w:val="28"/>
          <w:szCs w:val="24"/>
        </w:rPr>
        <w:t>Seeing the Light</w:t>
      </w:r>
      <w:r>
        <w:rPr>
          <w:rFonts w:cs="Times New Roman" w:ascii="Times New Roman" w:hAnsi="Times New Roman"/>
          <w:sz w:val="28"/>
          <w:szCs w:val="24"/>
        </w:rPr>
        <w:t xml:space="preserve"> document produced by IEP Market Response in 2000. IEP will be printing 2100 copies, which will be distributed both nationally and on a statewide basis to opinion leaders, policy makers and the media.</w:t>
      </w:r>
    </w:p>
    <w:p>
      <w:pPr>
        <w:pStyle w:val="Footer"/>
        <w:tabs>
          <w:tab w:val="clear" w:pos="4320"/>
          <w:tab w:val="clear" w:pos="8640"/>
        </w:tabs>
        <w:ind w:hanging="2880" w:start="2880" w:end="0"/>
        <w:jc w:val="both"/>
        <w:rPr>
          <w:rFonts w:ascii="Times New Roman" w:hAnsi="Times New Roman" w:cs="Times New Roman"/>
          <w:sz w:val="28"/>
          <w:szCs w:val="24"/>
        </w:rPr>
      </w:pPr>
      <w:r>
        <w:rPr>
          <w:rFonts w:cs="Times New Roman" w:ascii="Times New Roman" w:hAnsi="Times New Roman"/>
          <w:sz w:val="28"/>
          <w:szCs w:val="24"/>
        </w:rPr>
      </w:r>
    </w:p>
    <w:p>
      <w:pPr>
        <w:pStyle w:val="Footer"/>
        <w:tabs>
          <w:tab w:val="clear" w:pos="4320"/>
          <w:tab w:val="clear" w:pos="8640"/>
        </w:tabs>
        <w:ind w:hanging="2880" w:start="2880" w:end="0"/>
        <w:jc w:val="both"/>
        <w:rPr/>
      </w:pPr>
      <w:r>
        <w:rPr>
          <w:rFonts w:cs="Times New Roman" w:ascii="Times New Roman" w:hAnsi="Times New Roman"/>
          <w:b/>
          <w:bCs/>
          <w:sz w:val="28"/>
          <w:szCs w:val="24"/>
        </w:rPr>
        <w:t>Technical Support:</w:t>
      </w:r>
      <w:r>
        <w:rPr>
          <w:rFonts w:cs="Times New Roman" w:ascii="Times New Roman" w:hAnsi="Times New Roman"/>
          <w:sz w:val="28"/>
          <w:szCs w:val="24"/>
        </w:rPr>
        <w:tab/>
        <w:t>IEP has historically used MRW and Associates to help respond in an immediate factual manner to any number of items including investigations and reports, Op-Ed’s, Editorials and other related issues.  This budget also accounts for the review of Powerful Ideas on both a technical and Regulatory front.  Also included in this budget are any assistance we need relating to Regulatory support such as research into CPUC/FERC decisions and rulings. Independent Research also falls within this budget.</w:t>
      </w:r>
    </w:p>
    <w:p>
      <w:pPr>
        <w:pStyle w:val="Footer"/>
        <w:tabs>
          <w:tab w:val="clear" w:pos="4320"/>
          <w:tab w:val="clear" w:pos="8640"/>
        </w:tabs>
        <w:ind w:hanging="2880" w:start="2880" w:end="0"/>
        <w:jc w:val="both"/>
        <w:rPr>
          <w:rFonts w:ascii="Times New Roman" w:hAnsi="Times New Roman" w:cs="Times New Roman"/>
          <w:sz w:val="28"/>
          <w:szCs w:val="24"/>
        </w:rPr>
      </w:pPr>
      <w:r>
        <w:rPr>
          <w:rFonts w:cs="Times New Roman" w:ascii="Times New Roman" w:hAnsi="Times New Roman"/>
          <w:sz w:val="28"/>
          <w:szCs w:val="24"/>
        </w:rPr>
      </w:r>
    </w:p>
    <w:p>
      <w:pPr>
        <w:pStyle w:val="Footer"/>
        <w:tabs>
          <w:tab w:val="clear" w:pos="4320"/>
          <w:tab w:val="clear" w:pos="8640"/>
        </w:tabs>
        <w:ind w:hanging="2880" w:start="2880" w:end="0"/>
        <w:jc w:val="both"/>
        <w:rPr/>
      </w:pPr>
      <w:r>
        <w:rPr>
          <w:rFonts w:cs="Times New Roman" w:ascii="Times New Roman" w:hAnsi="Times New Roman"/>
          <w:b/>
          <w:bCs/>
          <w:sz w:val="28"/>
          <w:szCs w:val="24"/>
        </w:rPr>
        <w:t>Polling/Focus Groups:</w:t>
      </w:r>
      <w:r>
        <w:rPr>
          <w:rFonts w:cs="Times New Roman" w:ascii="Times New Roman" w:hAnsi="Times New Roman"/>
          <w:sz w:val="28"/>
          <w:szCs w:val="24"/>
        </w:rPr>
        <w:tab/>
        <w:t>IEP has been a party to a number of ongoing polls that have aided us in message development and allowed us to monitor the state of the issue.  We have also to political issues.  We have not conducted any focus groups as been able to test key messages related of yet this year but it is the recommendation that we keep this option open.  IEP’s share of each statewide poll is about $12,000.</w:t>
      </w:r>
    </w:p>
    <w:p>
      <w:pPr>
        <w:pStyle w:val="Footer"/>
        <w:tabs>
          <w:tab w:val="clear" w:pos="4320"/>
          <w:tab w:val="clear" w:pos="8640"/>
        </w:tabs>
        <w:ind w:hanging="2880" w:start="2880" w:end="0"/>
        <w:jc w:val="both"/>
        <w:rPr>
          <w:rFonts w:ascii="Times New Roman" w:hAnsi="Times New Roman" w:cs="Times New Roman"/>
          <w:sz w:val="28"/>
          <w:szCs w:val="24"/>
        </w:rPr>
      </w:pPr>
      <w:r>
        <w:rPr>
          <w:rFonts w:cs="Times New Roman" w:ascii="Times New Roman" w:hAnsi="Times New Roman"/>
          <w:sz w:val="28"/>
          <w:szCs w:val="24"/>
        </w:rPr>
      </w:r>
    </w:p>
    <w:p>
      <w:pPr>
        <w:pStyle w:val="Footer"/>
        <w:tabs>
          <w:tab w:val="clear" w:pos="4320"/>
          <w:tab w:val="clear" w:pos="8640"/>
        </w:tabs>
        <w:ind w:hanging="2880" w:start="2880" w:end="0"/>
        <w:jc w:val="both"/>
        <w:rPr/>
      </w:pPr>
      <w:r>
        <w:rPr>
          <w:rFonts w:cs="Times New Roman" w:ascii="Times New Roman" w:hAnsi="Times New Roman"/>
          <w:b/>
          <w:bCs/>
          <w:sz w:val="28"/>
          <w:szCs w:val="24"/>
        </w:rPr>
        <w:t>Committed Ads</w:t>
      </w:r>
      <w:r>
        <w:rPr>
          <w:rFonts w:cs="Times New Roman" w:ascii="Times New Roman" w:hAnsi="Times New Roman"/>
          <w:sz w:val="28"/>
          <w:szCs w:val="24"/>
        </w:rPr>
        <w:t>:</w:t>
        <w:tab/>
        <w:t xml:space="preserve">The 2000 Market Response team committed to a yearlong series of ads with the California Journal, which will conclude in September of this year.  This budget covers those ads as well as art development, reproduction of ad and purchase of additional copies for distribution. </w:t>
      </w:r>
    </w:p>
    <w:p>
      <w:pPr>
        <w:pStyle w:val="Footer"/>
        <w:tabs>
          <w:tab w:val="clear" w:pos="4320"/>
          <w:tab w:val="clear" w:pos="8640"/>
        </w:tabs>
        <w:ind w:hanging="2880" w:start="2880" w:end="0"/>
        <w:jc w:val="both"/>
        <w:rPr>
          <w:rFonts w:ascii="Times New Roman" w:hAnsi="Times New Roman" w:cs="Times New Roman"/>
          <w:sz w:val="28"/>
          <w:szCs w:val="24"/>
        </w:rPr>
      </w:pPr>
      <w:r>
        <w:rPr>
          <w:rFonts w:cs="Times New Roman" w:ascii="Times New Roman" w:hAnsi="Times New Roman"/>
          <w:sz w:val="28"/>
          <w:szCs w:val="24"/>
        </w:rPr>
      </w:r>
    </w:p>
    <w:p>
      <w:pPr>
        <w:pStyle w:val="Footer"/>
        <w:tabs>
          <w:tab w:val="clear" w:pos="4320"/>
          <w:tab w:val="clear" w:pos="8640"/>
        </w:tabs>
        <w:ind w:hanging="2010" w:start="2160" w:end="0"/>
        <w:jc w:val="both"/>
        <w:rPr/>
      </w:pPr>
      <w:r>
        <w:rPr>
          <w:rFonts w:cs="Times New Roman" w:ascii="Times New Roman" w:hAnsi="Times New Roman"/>
          <w:b/>
          <w:bCs/>
          <w:sz w:val="28"/>
          <w:szCs w:val="24"/>
        </w:rPr>
        <w:t xml:space="preserve">Administrative Issues: </w:t>
      </w:r>
      <w:r>
        <w:rPr>
          <w:rFonts w:cs="Times New Roman" w:ascii="Times New Roman" w:hAnsi="Times New Roman"/>
          <w:sz w:val="28"/>
          <w:szCs w:val="24"/>
        </w:rPr>
        <w:t xml:space="preserve">This budget covers all conference calls for the year for </w:t>
      </w:r>
    </w:p>
    <w:p>
      <w:pPr>
        <w:pStyle w:val="Footer"/>
        <w:tabs>
          <w:tab w:val="clear" w:pos="4320"/>
          <w:tab w:val="clear" w:pos="8640"/>
        </w:tabs>
        <w:ind w:start="2880" w:end="0"/>
        <w:jc w:val="both"/>
        <w:rPr>
          <w:rFonts w:ascii="Times New Roman" w:hAnsi="Times New Roman" w:cs="Times New Roman"/>
          <w:b/>
          <w:bCs/>
          <w:sz w:val="28"/>
          <w:szCs w:val="24"/>
        </w:rPr>
      </w:pPr>
      <w:r>
        <w:rPr>
          <w:rFonts w:cs="Times New Roman" w:ascii="Times New Roman" w:hAnsi="Times New Roman"/>
          <w:sz w:val="28"/>
          <w:szCs w:val="24"/>
        </w:rPr>
        <w:t>the Public Affairs team.  They are about $800-1000 for each call.</w:t>
      </w:r>
    </w:p>
    <w:p>
      <w:pPr>
        <w:pStyle w:val="Footer"/>
        <w:tabs>
          <w:tab w:val="clear" w:pos="4320"/>
          <w:tab w:val="clear" w:pos="8640"/>
        </w:tabs>
        <w:jc w:val="both"/>
        <w:rPr>
          <w:rFonts w:ascii="Times New Roman" w:hAnsi="Times New Roman" w:cs="Times New Roman"/>
          <w:b/>
          <w:bCs/>
          <w:sz w:val="28"/>
          <w:szCs w:val="24"/>
        </w:rPr>
      </w:pPr>
      <w:r>
        <w:rPr>
          <w:rFonts w:cs="Times New Roman" w:ascii="Times New Roman" w:hAnsi="Times New Roman"/>
          <w:b/>
          <w:bCs/>
          <w:sz w:val="28"/>
          <w:szCs w:val="24"/>
        </w:rPr>
      </w:r>
    </w:p>
    <w:p>
      <w:pPr>
        <w:pStyle w:val="Normal"/>
        <w:jc w:val="both"/>
        <w:rPr/>
      </w:pPr>
      <w:r>
        <w:rPr>
          <w:sz w:val="28"/>
        </w:rPr>
        <w:t>Please let me know if you have any questions or comments regarding this budget.  We will be discussing this on the Monday April 16</w:t>
      </w:r>
      <w:r>
        <w:rPr>
          <w:sz w:val="28"/>
          <w:vertAlign w:val="superscript"/>
        </w:rPr>
        <w:t>th</w:t>
      </w:r>
      <w:r>
        <w:rPr>
          <w:sz w:val="28"/>
        </w:rPr>
        <w:t xml:space="preserve"> conference call.</w:t>
      </w:r>
    </w:p>
    <w:sectPr>
      <w:footerReference w:type="default" r:id="rId3"/>
      <w:type w:val="nextPage"/>
      <w:pgSz w:w="12240" w:h="15840"/>
      <w:pgMar w:left="1800" w:right="12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Public Affairs Committee</w:t>
      <w:tab/>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sz w:val="28"/>
    </w:rPr>
  </w:style>
  <w:style w:type="paragraph" w:styleId="Heading2">
    <w:name w:val="heading 2"/>
    <w:basedOn w:val="Normal"/>
    <w:next w:val="Normal"/>
    <w:qFormat/>
    <w:pPr>
      <w:keepNext w:val="true"/>
      <w:numPr>
        <w:ilvl w:val="1"/>
        <w:numId w:val="1"/>
      </w:numPr>
      <w:outlineLvl w:val="1"/>
    </w:pPr>
    <w:rPr>
      <w:b/>
      <w:bCs/>
      <w:sz w:val="26"/>
      <w:szCs w:val="20"/>
    </w:rPr>
  </w:style>
  <w:style w:type="paragraph" w:styleId="Heading3">
    <w:name w:val="heading 3"/>
    <w:basedOn w:val="Normal"/>
    <w:next w:val="Normal"/>
    <w:qFormat/>
    <w:pPr>
      <w:keepNext w:val="true"/>
      <w:numPr>
        <w:ilvl w:val="2"/>
        <w:numId w:val="1"/>
      </w:numPr>
      <w:outlineLvl w:val="2"/>
    </w:pPr>
    <w:rPr>
      <w:sz w:val="28"/>
      <w:szCs w:val="20"/>
    </w:rPr>
  </w:style>
  <w:style w:type="paragraph" w:styleId="Heading5">
    <w:name w:val="heading 5"/>
    <w:basedOn w:val="Normal"/>
    <w:next w:val="Normal"/>
    <w:qFormat/>
    <w:pPr>
      <w:keepNext w:val="true"/>
      <w:numPr>
        <w:ilvl w:val="4"/>
        <w:numId w:val="1"/>
      </w:numPr>
      <w:outlineLvl w:val="4"/>
    </w:pPr>
    <w:rPr>
      <w:sz w:val="28"/>
      <w:u w:val="single"/>
    </w:rPr>
  </w:style>
  <w:style w:type="paragraph" w:styleId="Heading6">
    <w:name w:val="heading 6"/>
    <w:basedOn w:val="Normal"/>
    <w:next w:val="Normal"/>
    <w:qFormat/>
    <w:pPr>
      <w:keepNext w:val="true"/>
      <w:numPr>
        <w:ilvl w:val="5"/>
        <w:numId w:val="1"/>
      </w:numPr>
      <w:outlineLvl w:val="5"/>
    </w:pPr>
    <w:rPr>
      <w:b/>
      <w:bCs/>
      <w:sz w:val="28"/>
    </w:rPr>
  </w:style>
  <w:style w:type="character" w:styleId="WW8Num1z0">
    <w:name w:val="WW8Num1z0"/>
    <w:qFormat/>
    <w:rPr>
      <w:rFonts w:cs="Courier New"/>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cs="Courier New"/>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36"/>
      <w:szCs w:val="20"/>
    </w:rPr>
  </w:style>
  <w:style w:type="paragraph" w:styleId="BodyText">
    <w:name w:val="Body Text"/>
    <w:basedOn w:val="Normal"/>
    <w:pPr/>
    <w:rPr>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Helvetica;Arial" w:hAnsi="Helvetica;Arial" w:cs="Helvetica;Arial"/>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2001-04-15T15:09:00Z</dcterms:created>
  <dc:creator>Katie Kaplan</dc:creator>
  <dc:description/>
  <dc:language>en-CA</dc:language>
  <cp:lastModifiedBy>Katie Kaplan</cp:lastModifiedBy>
  <dcterms:modified xsi:type="dcterms:W3CDTF">2001-04-15T16:21:00Z</dcterms:modified>
  <cp:revision>12</cp:revision>
  <dc:subject/>
  <dc:title>                                                                                              </dc:title>
</cp:coreProperties>
</file>