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[as of 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January 17,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September 26, 2000,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Company shall purchase and receive (Buyer) and Customer shall sell and deliver (Seller).  Transaction No. 12  (Deal No. 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20,000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Exxon Corporation’s Katy Gas Plant in Waller County, Texas.</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CONTRACT PRICE (per MMBtu):</w:t>
        <w:tab/>
        <w:t>Index Price plus $1.6169 per MMBtu</w:t>
      </w:r>
    </w:p>
    <w:p>
      <w:pPr>
        <w:pStyle w:val="Normal"/>
        <w:tabs>
          <w:tab w:val="clear" w:pos="720"/>
          <w:tab w:val="left" w:pos="8640" w:leader="none"/>
        </w:tabs>
        <w:ind w:hanging="3600" w:start="3600" w:end="0"/>
        <w:jc w:val="both"/>
        <w:rPr/>
      </w:pPr>
      <w:r>
        <w:rPr>
          <w:rFonts w:cs="Arial Narrow" w:ascii="Arial Narrow" w:hAnsi="Arial Narrow"/>
          <w:sz w:val="20"/>
        </w:rPr>
        <w:tab/>
        <w:t xml:space="preserve">The term “Index Price” shall mean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Houston Ship Channel, large packages, as listed in the table entitled “Delivered Spot-Gas Prices” in the first of the month issue of such publication for each Month during the Period of Delivery.</w:t>
        <w:tab/>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October 1, 2000 – October 31, 2000</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/mnt/main-storage/datasets/enron-docs/doc/2001_06crfm.doc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2001-01-17T18:38:00Z</dcterms:created>
  <dc:creator>dhyvl</dc:creator>
  <dc:description/>
  <dc:language>en-CA</dc:language>
  <cp:lastModifiedBy>jhelton</cp:lastModifiedBy>
  <cp:lastPrinted>2001-01-17T15:38:00Z</cp:lastPrinted>
  <dcterms:modified xsi:type="dcterms:W3CDTF">2001-01-22T16:46:00Z</dcterms:modified>
  <cp:revision>6</cp:revision>
  <dc:subject/>
  <dc:title>August 30, 2000</dc:title>
</cp:coreProperties>
</file>