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January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October 25,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Customer shall purchase and receive (Buyer) and Company shall sell and deliver (Seller).  Transaction No. 11  (Deal No. 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10,000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Houston Pipe Line Company’s meter no. 1511 located at the Clark Refinery.</w:t>
      </w:r>
    </w:p>
    <w:p>
      <w:pPr>
        <w:pStyle w:val="Normal"/>
        <w:tabs>
          <w:tab w:val="clear" w:pos="720"/>
          <w:tab w:val="left" w:pos="8640" w:leader="none"/>
        </w:tabs>
        <w:ind w:hanging="3600" w:start="3600" w:end="0"/>
        <w:jc w:val="both"/>
        <w:rPr/>
      </w:pPr>
      <w:r>
        <w:rPr>
          <w:rFonts w:cs="Arial Narrow" w:ascii="Arial Narrow" w:hAnsi="Arial Narrow"/>
          <w:sz w:val="20"/>
        </w:rPr>
        <w:t>CONTRACT PRICE (per MMBtu):</w:t>
        <w:tab/>
        <w:t xml:space="preserve">Greater of (i) Index Price minus $0.205 per MMBtu or (ii) Spot Price (Midpoint) minus $0.205.  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  The term “Spot Price (Midpoint)” shall mean the midpoint price set forth in </w:t>
      </w:r>
      <w:r>
        <w:rPr>
          <w:rFonts w:cs="Arial Narrow" w:ascii="Arial Narrow" w:hAnsi="Arial Narrow"/>
          <w:sz w:val="20"/>
          <w:u w:val="single"/>
        </w:rPr>
        <w:t>Gas Daily</w:t>
      </w:r>
      <w:r>
        <w:rPr>
          <w:rFonts w:cs="Arial Narrow" w:ascii="Arial Narrow" w:hAnsi="Arial Narrow"/>
          <w:sz w:val="20"/>
        </w:rPr>
        <w:t xml:space="preserve"> (Financial Energy Times) or successor publication, in the column “Daily Price Survey” under the column “East-Houston-Katy, Houston Ship Channel” as reported for the relevant gas day.</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November 1, 2000 – November 30,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/mnt/main-storage/datasets/enron-docs/doc/2001_05crfm.doc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2001-01-17T18:15:00Z</dcterms:created>
  <dc:creator>dhyvl</dc:creator>
  <dc:description/>
  <dc:language>en-CA</dc:language>
  <cp:lastModifiedBy>dhyvl</cp:lastModifiedBy>
  <cp:lastPrinted>2001-01-22T11:33:00Z</cp:lastPrinted>
  <dcterms:modified xsi:type="dcterms:W3CDTF">2001-01-22T16:46:00Z</dcterms:modified>
  <cp:revision>8</cp:revision>
  <dc:subject/>
  <dc:title>August 30, 2000</dc:title>
</cp:coreProperties>
</file>