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Normal"/>
        <w:tabs>
          <w:tab w:val="clear" w:pos="720"/>
          <w:tab w:val="left" w:pos="630" w:leader="none"/>
        </w:tabs>
        <w:rPr>
          <w:sz w:val="22"/>
        </w:rPr>
      </w:pPr>
      <w:r>
        <w:rPr>
          <w:sz w:val="22"/>
        </w:rPr>
      </w:r>
    </w:p>
    <w:p>
      <w:pPr>
        <w:pStyle w:val="Normal"/>
        <w:jc w:val="center"/>
        <w:rPr>
          <w:sz w:val="22"/>
        </w:rPr>
      </w:pPr>
      <w:r>
        <w:rPr>
          <w:sz w:val="22"/>
        </w:rPr>
        <w:fldChar w:fldCharType="begin"/>
      </w:r>
      <w:r>
        <w:rPr>
          <w:sz w:val="22"/>
        </w:rPr>
        <w:instrText xml:space="preserve"> MERGEFIELD DateToday </w:instrText>
      </w:r>
      <w:r>
        <w:rPr>
          <w:sz w:val="22"/>
        </w:rPr>
        <w:fldChar w:fldCharType="separate"/>
      </w:r>
      <w:r>
        <w:rPr>
          <w:sz w:val="22"/>
        </w:rPr>
        <w:t>June 14, 2001</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t>Orlando Utilities Commission</w:t>
      </w:r>
    </w:p>
    <w:p>
      <w:pPr>
        <w:pStyle w:val="Normal"/>
        <w:rPr>
          <w:sz w:val="22"/>
        </w:rPr>
      </w:pPr>
      <w:r>
        <w:rPr>
          <w:sz w:val="22"/>
        </w:rPr>
        <w:t>500 South Orange Avenue</w:t>
      </w: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r>
      <w:r>
        <w:rPr>
          <w:sz w:val="22"/>
        </w:rPr>
        <w:fldChar w:fldCharType="end"/>
      </w:r>
    </w:p>
    <w:p>
      <w:pPr>
        <w:pStyle w:val="Normal"/>
        <w:rPr>
          <w:sz w:val="22"/>
        </w:rPr>
      </w:pPr>
      <w:r>
        <w:rPr>
          <w:sz w:val="22"/>
        </w:rPr>
        <w:t>P. O. Box 3193</w:t>
      </w:r>
    </w:p>
    <w:p>
      <w:pPr>
        <w:pStyle w:val="Normal"/>
        <w:rPr>
          <w:sz w:val="22"/>
        </w:rPr>
      </w:pPr>
      <w:r>
        <w:rPr>
          <w:sz w:val="22"/>
        </w:rPr>
        <w:t>Orlando, Florida  32802</w:t>
      </w:r>
    </w:p>
    <w:p>
      <w:pPr>
        <w:pStyle w:val="Normal"/>
        <w:rPr>
          <w:sz w:val="22"/>
        </w:rPr>
      </w:pPr>
      <w:r>
        <w:rPr>
          <w:sz w:val="22"/>
        </w:rPr>
      </w:r>
    </w:p>
    <w:p>
      <w:pPr>
        <w:pStyle w:val="Normal"/>
        <w:rPr>
          <w:sz w:val="22"/>
        </w:rPr>
      </w:pPr>
      <w:r>
        <w:rPr>
          <w:sz w:val="22"/>
        </w:rPr>
        <w:t xml:space="preserve">Fax No.:  </w:t>
      </w:r>
      <w:r>
        <w:rPr>
          <w:sz w:val="22"/>
        </w:rPr>
        <w:fldChar w:fldCharType="begin"/>
      </w:r>
      <w:r>
        <w:rPr>
          <w:sz w:val="22"/>
        </w:rPr>
        <w:instrText xml:space="preserve"> MERGEFIELD CounterpartyFax </w:instrText>
      </w:r>
      <w:r>
        <w:rPr>
          <w:sz w:val="22"/>
        </w:rPr>
        <w:fldChar w:fldCharType="separate"/>
      </w:r>
      <w:r>
        <w:rPr>
          <w:sz w:val="22"/>
        </w:rPr>
        <w:t>(407) 236-9616634-3500</w:t>
      </w:r>
      <w:r>
        <w:rPr>
          <w:sz w:val="22"/>
        </w:rPr>
        <w:fldChar w:fldCharType="end"/>
      </w:r>
    </w:p>
    <w:p>
      <w:pPr>
        <w:pStyle w:val="Normal"/>
        <w:rPr>
          <w:sz w:val="22"/>
        </w:rPr>
      </w:pPr>
      <w:r>
        <w:rPr>
          <w:sz w:val="22"/>
        </w:rPr>
        <w:t>Trans. No.:  __________________</w:t>
      </w:r>
    </w:p>
    <w:p>
      <w:pPr>
        <w:pStyle w:val="Normal"/>
        <w:rPr>
          <w:sz w:val="22"/>
        </w:rPr>
      </w:pPr>
      <w:r>
        <w:rPr>
          <w:sz w:val="22"/>
        </w:rPr>
      </w:r>
    </w:p>
    <w:p>
      <w:pPr>
        <w:pStyle w:val="Normal"/>
        <w:jc w:val="center"/>
        <w:rPr>
          <w:b/>
          <w:sz w:val="22"/>
        </w:rPr>
      </w:pPr>
      <w:r>
        <w:rPr>
          <w:b/>
          <w:sz w:val="22"/>
        </w:rPr>
        <w:t>TRANSACTION AGREEMENT</w:t>
      </w:r>
    </w:p>
    <w:p>
      <w:pPr>
        <w:pStyle w:val="Normal"/>
        <w:jc w:val="center"/>
        <w:rPr>
          <w:b/>
          <w:sz w:val="22"/>
        </w:rPr>
      </w:pPr>
      <w:r>
        <w:rPr>
          <w:b/>
          <w:sz w:val="22"/>
        </w:rPr>
      </w:r>
    </w:p>
    <w:p>
      <w:pPr>
        <w:pStyle w:val="Normal"/>
        <w:jc w:val="both"/>
        <w:rPr/>
      </w:pPr>
      <w:r>
        <w:rPr>
          <w:sz w:val="22"/>
        </w:rPr>
        <w:t xml:space="preserve">This Transaction Agreement shall confirm the transaction agreed to and binding between Orlando Utilities Commission ("Customer") and </w:t>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"Company") regarding the purchase and sale of gas on the following terms. </w:t>
      </w:r>
      <w:r>
        <w:rPr>
          <w:sz w:val="22"/>
        </w:rPr>
        <w:fldChar w:fldCharType="begin"/>
      </w:r>
      <w:r>
        <w:rPr>
          <w:sz w:val="22"/>
        </w:rPr>
        <w:instrText xml:space="preserve"> MERGEFIELD Buyer </w:instrText>
      </w:r>
      <w:r>
        <w:rPr>
          <w:sz w:val="22"/>
        </w:rPr>
        <w:fldChar w:fldCharType="separate"/>
      </w:r>
      <w:r>
        <w:rPr>
          <w:sz w:val="22"/>
        </w:rPr>
        <w:t>Customer</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Company</w:t>
      </w:r>
      <w:r>
        <w:rPr>
          <w:sz w:val="22"/>
        </w:rPr>
        <w:fldChar w:fldCharType="end"/>
      </w:r>
      <w:r>
        <w:rPr>
          <w:sz w:val="22"/>
        </w:rPr>
        <w:t xml:space="preserve"> to sell and deliver ("Seller").</w:t>
      </w:r>
    </w:p>
    <w:p>
      <w:pPr>
        <w:pStyle w:val="Normal"/>
        <w:rPr>
          <w:b/>
          <w:sz w:val="22"/>
        </w:rPr>
      </w:pPr>
      <w:r>
        <w:rPr>
          <w:b/>
          <w:sz w:val="22"/>
        </w:rPr>
      </w:r>
    </w:p>
    <w:tbl>
      <w:tblPr>
        <w:tblW w:w="9738" w:type="dxa"/>
        <w:jc w:val="start"/>
        <w:tblInd w:w="0" w:type="dxa"/>
        <w:tblLayout w:type="fixed"/>
        <w:tblCellMar>
          <w:top w:w="0" w:type="dxa"/>
          <w:start w:w="108" w:type="dxa"/>
          <w:bottom w:w="0" w:type="dxa"/>
          <w:end w:w="108" w:type="dxa"/>
        </w:tblCellMar>
      </w:tblPr>
      <w:tblGrid>
        <w:gridCol w:w="9738"/>
      </w:tblGrid>
      <w:tr>
        <w:trPr/>
        <w:tc>
          <w:tcPr>
            <w:tcW w:w="9738" w:type="dxa"/>
            <w:tcBorders/>
          </w:tcPr>
          <w:p>
            <w:pPr>
              <w:pStyle w:val="Heading1"/>
              <w:ind w:hanging="0" w:start="0"/>
              <w:rPr/>
            </w:pPr>
            <w:r>
              <w:rPr/>
              <w:t>DAILY CONTRACT QUANTITY</w:t>
            </w:r>
          </w:p>
          <w:p>
            <w:pPr>
              <w:pStyle w:val="Normal"/>
              <w:tabs>
                <w:tab w:val="clear" w:pos="720"/>
                <w:tab w:val="left" w:pos="3600" w:leader="none"/>
              </w:tabs>
              <w:rPr>
                <w:b/>
                <w:sz w:val="22"/>
              </w:rPr>
            </w:pPr>
            <w:r>
              <w:rPr>
                <w:b/>
                <w:sz w:val="22"/>
              </w:rPr>
              <w:t xml:space="preserve">     </w:t>
            </w:r>
            <w:r>
              <w:rPr>
                <w:b/>
                <w:sz w:val="22"/>
              </w:rPr>
              <w:t>(“DCQ”):</w:t>
              <w:tab/>
            </w:r>
            <w:r>
              <w:rPr>
                <w:bCs/>
                <w:sz w:val="22"/>
              </w:rPr>
              <w:t>60,000 MMBtu</w:t>
            </w:r>
          </w:p>
        </w:tc>
      </w:tr>
    </w:tbl>
    <w:p>
      <w:pPr>
        <w:pStyle w:val="Normal"/>
        <w:rPr>
          <w:b/>
          <w:sz w:val="22"/>
        </w:rPr>
      </w:pPr>
      <w:r>
        <w:rPr>
          <w:b/>
          <w:sz w:val="22"/>
        </w:rPr>
      </w:r>
    </w:p>
    <w:p>
      <w:pPr>
        <w:pStyle w:val="Normal"/>
        <w:ind w:hanging="3600" w:start="3600" w:end="0"/>
        <w:jc w:val="both"/>
        <w:rPr/>
      </w:pPr>
      <w:r>
        <w:rPr>
          <w:b/>
          <w:sz w:val="22"/>
        </w:rPr>
        <w:t>DELIVERY POINT:</w:t>
      </w:r>
      <w:r>
        <w:rPr>
          <w:sz w:val="22"/>
        </w:rPr>
        <w:t xml:space="preserve">  </w:t>
        <w:tab/>
        <w:t>At the interconnection of Florida Gas Transmission Company’s existing pipeline and the facilities being install for Customer in or near Orlando, Florida.</w:t>
      </w:r>
    </w:p>
    <w:p>
      <w:pPr>
        <w:pStyle w:val="Normal"/>
        <w:jc w:val="both"/>
        <w:rPr>
          <w:b/>
          <w:sz w:val="22"/>
        </w:rPr>
      </w:pPr>
      <w:r>
        <w:rPr>
          <w:b/>
          <w:sz w:val="22"/>
        </w:rPr>
      </w:r>
    </w:p>
    <w:p>
      <w:pPr>
        <w:pStyle w:val="Normal"/>
        <w:rPr/>
      </w:pPr>
      <w:r>
        <w:rPr>
          <w:b/>
          <w:sz w:val="22"/>
        </w:rPr>
        <w:t>PERIOD OF DELIVERY:</w:t>
        <w:tab/>
      </w:r>
      <w:r>
        <w:rPr>
          <w:sz w:val="22"/>
        </w:rPr>
        <w:tab/>
      </w:r>
      <w:r>
        <w:rPr>
          <w:sz w:val="22"/>
        </w:rPr>
        <w:fldChar w:fldCharType="begin"/>
      </w:r>
      <w:r>
        <w:rPr>
          <w:sz w:val="22"/>
        </w:rPr>
        <w:instrText xml:space="preserve"> MERGEFIELD DeliveryPeriod </w:instrText>
      </w:r>
      <w:r>
        <w:rPr>
          <w:sz w:val="22"/>
        </w:rPr>
        <w:fldChar w:fldCharType="separate"/>
      </w:r>
      <w:r>
        <w:rPr>
          <w:sz w:val="22"/>
        </w:rPr>
        <w:t>November 01, 2003 through October 31, 201</w:t>
      </w:r>
      <w:r>
        <w:rPr>
          <w:sz w:val="22"/>
        </w:rPr>
        <w:fldChar w:fldCharType="end"/>
      </w:r>
      <w:r>
        <w:rPr>
          <w:sz w:val="22"/>
        </w:rPr>
        <w:t>3</w:t>
      </w:r>
    </w:p>
    <w:p>
      <w:pPr>
        <w:pStyle w:val="Normal"/>
        <w:rPr>
          <w:sz w:val="22"/>
        </w:rPr>
      </w:pPr>
      <w:r>
        <w:rPr>
          <w:sz w:val="22"/>
        </w:rPr>
      </w:r>
    </w:p>
    <w:p>
      <w:pPr>
        <w:pStyle w:val="Normal"/>
        <w:rPr/>
      </w:pPr>
      <w:r>
        <w:rPr>
          <w:b/>
          <w:sz w:val="22"/>
        </w:rPr>
        <w:t>CONTRACT PRICE (PER MMBTU):</w:t>
      </w:r>
      <w:r>
        <w:rPr>
          <w:sz w:val="22"/>
        </w:rPr>
        <w:tab/>
        <w:tab/>
        <w:t xml:space="preserve">   </w:t>
      </w:r>
    </w:p>
    <w:p>
      <w:pPr>
        <w:pStyle w:val="Normal"/>
        <w:numPr>
          <w:ilvl w:val="0"/>
          <w:numId w:val="2"/>
        </w:numPr>
        <w:tabs>
          <w:tab w:val="left" w:pos="720" w:leader="none"/>
        </w:tabs>
        <w:ind w:hanging="720" w:start="720" w:end="144"/>
        <w:jc w:val="both"/>
        <w:rPr>
          <w:sz w:val="22"/>
        </w:rPr>
      </w:pPr>
      <w:r>
        <w:rPr>
          <w:sz w:val="22"/>
        </w:rPr>
        <w:t xml:space="preserve">The Contract Price per MMBtu for the DCQ shall be equal to the “Spot Price (Midpoint)” set forth in </w:t>
      </w:r>
      <w:r>
        <w:rPr>
          <w:sz w:val="22"/>
          <w:u w:val="single"/>
        </w:rPr>
        <w:t>Gas Daily</w:t>
      </w:r>
      <w:r>
        <w:rPr>
          <w:sz w:val="22"/>
        </w:rPr>
        <w:t xml:space="preserve"> (Financial Energy Times) or successor publication, in the column “Daily Price Survey” under the column “Henry Hub” as reported for the day of flow, plus $0.55 per MMBtu.  Customer shall have the right to convert the Contract Price pursuant to the Flexible Pricing provision of the Master Agreement.</w:t>
      </w:r>
    </w:p>
    <w:p>
      <w:pPr>
        <w:pStyle w:val="BlockText"/>
        <w:tabs>
          <w:tab w:val="clear" w:pos="1440"/>
          <w:tab w:val="left" w:pos="720" w:leader="none"/>
        </w:tabs>
        <w:ind w:start="720" w:end="144"/>
        <w:rPr/>
      </w:pPr>
      <w:r>
        <w:rPr/>
        <w:t>(b)</w:t>
        <w:tab/>
        <w:t xml:space="preserve">Customer shall have the right to sell all or any portion of th DCQ back to Company by providing notice of and the volume to be sold back to Company not later than 7:30 a.m. on the day prior to the day of flow.  The price per MMBtu to be paid by Company to Customer for such buyback volume shall be equal to the “Spot Price (Midpoint)” set forth in </w:t>
      </w:r>
      <w:r>
        <w:rPr>
          <w:u w:val="single"/>
        </w:rPr>
        <w:t>Gas Daily</w:t>
      </w:r>
      <w:r>
        <w:rPr/>
        <w:t xml:space="preserve"> (Financial Energy Times) or successor publication, in the column “Daily Price Survey” under the column “FGT – Zone 3” as reported for the day of flow.</w:t>
      </w:r>
    </w:p>
    <w:p>
      <w:pPr>
        <w:pStyle w:val="Normal"/>
        <w:jc w:val="both"/>
        <w:rPr>
          <w:b/>
          <w:bCs/>
          <w:sz w:val="22"/>
        </w:rPr>
      </w:pPr>
      <w:r>
        <w:rPr>
          <w:b/>
          <w:bCs/>
          <w:sz w:val="22"/>
        </w:rPr>
      </w:r>
    </w:p>
    <w:p>
      <w:pPr>
        <w:pStyle w:val="Normal"/>
        <w:jc w:val="both"/>
        <w:rPr/>
      </w:pPr>
      <w:r>
        <w:rPr>
          <w:b/>
          <w:bCs/>
          <w:sz w:val="22"/>
        </w:rPr>
        <w:t>SPOT PRICE LOCATION:</w:t>
        <w:tab/>
        <w:tab/>
      </w:r>
      <w:r>
        <w:rPr>
          <w:sz w:val="22"/>
        </w:rPr>
        <w:t>FGT Zone 3</w:t>
      </w:r>
    </w:p>
    <w:p>
      <w:pPr>
        <w:pStyle w:val="Normal"/>
        <w:jc w:val="both"/>
        <w:rPr>
          <w:sz w:val="22"/>
        </w:rPr>
      </w:pPr>
      <w:r>
        <w:rPr>
          <w:sz w:val="22"/>
        </w:rPr>
      </w:r>
    </w:p>
    <w:p>
      <w:pPr>
        <w:pStyle w:val="Normal"/>
        <w:jc w:val="both"/>
        <w:rPr>
          <w:sz w:val="22"/>
        </w:rPr>
      </w:pPr>
      <w:r>
        <w:rPr>
          <w:sz w:val="22"/>
        </w:rPr>
        <w:t xml:space="preserve">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r>
    </w:p>
    <w:p>
      <w:pPr>
        <w:pStyle w:val="Normal"/>
        <w:jc w:val="both"/>
        <w:rPr>
          <w:sz w:val="22"/>
        </w:rPr>
      </w:pPr>
      <w:r>
        <w:rPr>
          <w:sz w:val="22"/>
        </w:rPr>
        <w:t xml:space="preserve"> </w:t>
      </w:r>
    </w:p>
    <w:p>
      <w:pPr>
        <w:pStyle w:val="BodyText2"/>
        <w:rPr/>
      </w:pPr>
      <w:r>
        <w:rPr/>
        <w:t>This Transaction Agreement is being provided pursuant to and in accordance with the ENFOLIO Master Firm Purchase/Sales Agreement (the “Master Agreement”) in effect between Customer and Company, and constitutes part of and is subject to all of the terms and provisions of such Master Agreement.  All capitalized terms herein used, but not defined, shall have the meanings set forth in the Master Agreement.  Any objection of Customer to this Transaction Agreement must be made by written notice to Company prior to the Confirm Deadline, as agreed and defined in the Master Agreement.</w:t>
      </w:r>
    </w:p>
    <w:p>
      <w:pPr>
        <w:pStyle w:val="Normal"/>
        <w:jc w:val="both"/>
        <w:rPr>
          <w:sz w:val="22"/>
        </w:rPr>
      </w:pPr>
      <w:r>
        <w:rPr>
          <w:sz w:val="22"/>
        </w:rPr>
      </w:r>
    </w:p>
    <w:p>
      <w:pPr>
        <w:pStyle w:val="BodyText"/>
        <w:ind w:end="0"/>
        <w:rPr/>
      </w:pPr>
      <w:r>
        <w:rPr/>
        <w:t>Please confirm that the terms stated herein accurately reflect the agreement reached between Customer and Company by returning an executed copy of this Transaction Agreemetn to Company.</w:t>
      </w:r>
    </w:p>
    <w:p>
      <w:pPr>
        <w:pStyle w:val="Normal"/>
        <w:ind w:end="-720"/>
        <w:rPr>
          <w:sz w:val="20"/>
        </w:rPr>
      </w:pPr>
      <w:r>
        <w:rPr>
          <w:sz w:val="20"/>
        </w:rPr>
      </w:r>
    </w:p>
    <w:p>
      <w:pPr>
        <w:pStyle w:val="Normal"/>
        <w:ind w:end="-720"/>
        <w:rPr>
          <w:sz w:val="20"/>
        </w:rPr>
      </w:pPr>
      <w:r>
        <w:rPr>
          <w:sz w:val="20"/>
        </w:rPr>
      </w:r>
    </w:p>
    <w:p>
      <w:pPr>
        <w:pStyle w:val="Heading2"/>
        <w:ind w:hanging="0" w:start="0" w:end="-720"/>
        <w:rPr>
          <w:bCs/>
          <w:sz w:val="22"/>
        </w:rPr>
      </w:pPr>
      <w:r>
        <w:rPr>
          <w:bCs/>
          <w:sz w:val="22"/>
        </w:rPr>
        <w:t>ORLANDO UTILITIES COMMISSION</w:t>
        <w:tab/>
        <w:tab/>
        <w:t>ENRON NORTH AMERICA CORP.</w:t>
      </w:r>
    </w:p>
    <w:p>
      <w:pPr>
        <w:pStyle w:val="Normal"/>
        <w:ind w:end="-720"/>
        <w:rPr>
          <w:bCs/>
          <w:sz w:val="22"/>
        </w:rPr>
      </w:pPr>
      <w:r>
        <w:rPr>
          <w:bCs/>
          <w:sz w:val="22"/>
        </w:rPr>
      </w:r>
    </w:p>
    <w:p>
      <w:pPr>
        <w:pStyle w:val="Heading2"/>
        <w:ind w:hanging="0" w:start="0" w:end="-720"/>
        <w:rPr>
          <w:sz w:val="22"/>
        </w:rPr>
      </w:pPr>
      <w:r>
        <w:rPr>
          <w:sz w:val="22"/>
        </w:rPr>
      </w:r>
    </w:p>
    <w:p>
      <w:pPr>
        <w:pStyle w:val="Normal"/>
        <w:ind w:end="-720"/>
        <w:rPr>
          <w:sz w:val="22"/>
        </w:rPr>
      </w:pPr>
      <w:r>
        <w:rPr>
          <w:sz w:val="22"/>
        </w:rPr>
        <w:t>By: _________________________________</w:t>
        <w:tab/>
        <w:tab/>
        <w:t>By: ____________________________</w:t>
      </w:r>
    </w:p>
    <w:p>
      <w:pPr>
        <w:pStyle w:val="Normal"/>
        <w:ind w:end="-720"/>
        <w:rPr>
          <w:sz w:val="22"/>
        </w:rPr>
      </w:pPr>
      <w:r>
        <w:rPr>
          <w:sz w:val="22"/>
        </w:rPr>
        <w:t>Title ________________________________</w:t>
        <w:tab/>
        <w:tab/>
        <w:t>Title ___________________________</w:t>
      </w:r>
    </w:p>
    <w:p>
      <w:pPr>
        <w:pStyle w:val="Normal"/>
        <w:ind w:end="-720"/>
        <w:rPr>
          <w:sz w:val="22"/>
        </w:rPr>
      </w:pPr>
      <w:r>
        <w:rPr>
          <w:sz w:val="22"/>
        </w:rPr>
        <w:t>Date________________________________</w:t>
        <w:tab/>
        <w:tab/>
        <w:t>Date___________________________</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/mnt/main-storage/datasets/enron-docs/doc/2001_059crfm.doc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/mnt/main-storage/datasets/enron-docs/doc/2001_059crfm.doc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Orlando Utilities Commission</w:t>
    </w:r>
  </w:p>
  <w:p>
    <w:pPr>
      <w:pStyle w:val="Header"/>
      <w:rPr>
        <w:sz w:val="22"/>
      </w:rPr>
    </w:pPr>
    <w:r>
      <w:rPr>
        <w:sz w:val="22"/>
      </w:rPr>
      <w:t>June 14, 2001</w:t>
    </w:r>
  </w:p>
  <w:p>
    <w:pPr>
      <w:pStyle w:val="Header"/>
      <w:rPr>
        <w:sz w:val="22"/>
      </w:rPr>
    </w:pPr>
    <w:r>
      <w:rPr>
        <w:sz w:val="22"/>
        <w:u w:val="single"/>
      </w:rPr>
      <w:t xml:space="preserve">Page  </w:t>
    </w:r>
    <w:r>
      <w:rPr>
        <w:sz w:val="22"/>
        <w:u w:val="single"/>
      </w:rPr>
      <w:fldChar w:fldCharType="begin"/>
    </w:r>
    <w:r>
      <w:rPr>
        <w:sz w:val="22"/>
        <w:u w:val="single"/>
      </w:rPr>
      <w:instrText xml:space="preserve"> PAGE </w:instrText>
    </w:r>
    <w:r>
      <w:rPr>
        <w:sz w:val="22"/>
        <w:u w:val="single"/>
      </w:rPr>
      <w:fldChar w:fldCharType="separate"/>
    </w:r>
    <w:r>
      <w:rPr>
        <w:sz w:val="22"/>
        <w:u w:val="single"/>
      </w:rPr>
      <w:t>2</w:t>
    </w:r>
    <w:r>
      <w:rPr>
        <w:sz w:val="22"/>
        <w:u w:val="single"/>
      </w:rPr>
      <w:fldChar w:fldCharType="end"/>
    </w:r>
    <w:r>
      <w:rPr>
        <w:sz w:val="22"/>
        <w:u w:val="single"/>
      </w:rPr>
      <w:tab/>
    </w:r>
  </w:p>
  <w:p>
    <w:pPr>
      <w:pStyle w:val="Header"/>
      <w:rPr>
        <w:sz w:val="22"/>
        <w:u w:val="single"/>
      </w:rPr>
    </w:pPr>
    <w:r>
      <w:rPr>
        <w:sz w:val="22"/>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ind w:hanging="0" w:start="0" w:end="-7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 w:val="left" w:pos="1440" w:leader="none"/>
      </w:tabs>
      <w:ind w:hanging="720" w:start="1440" w:end="144"/>
      <w:jc w:val="both"/>
    </w:pPr>
    <w:rPr>
      <w:sz w:val="22"/>
    </w:rPr>
  </w:style>
  <w:style w:type="paragraph" w:styleId="BodyText2">
    <w:name w:val="Body Text 2"/>
    <w:basedOn w:val="Normal"/>
    <w:qFormat/>
    <w:pPr>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2001-06-14T12:08:00Z</dcterms:created>
  <dc:creator>ECT</dc:creator>
  <dc:description/>
  <dc:language>en-CA</dc:language>
  <cp:lastModifiedBy>dhyvl</cp:lastModifiedBy>
  <cp:lastPrinted>2001-06-14T11:58:00Z</cp:lastPrinted>
  <dcterms:modified xsi:type="dcterms:W3CDTF">2001-06-14T14:28:00Z</dcterms:modified>
  <cp:revision>6</cp:revision>
  <dc:subject>The Procter &amp; Gamble Company</dc:subject>
  <dc:title>VB3252.1</dc:title>
</cp:coreProperties>
</file>