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Narrow"/>
        </w:rPr>
      </w:pPr>
      <w:r>
        <w:rPr>
          <w:rFonts w:cs="Arial Narrow" w:ascii="Arial Narrow" w:hAnsi="Arial Narrow"/>
        </w:rPr>
      </w:r>
    </w:p>
    <w:p>
      <w:pPr>
        <w:pStyle w:val="Footer"/>
        <w:tabs>
          <w:tab w:val="clear" w:pos="4320"/>
          <w:tab w:val="clear" w:pos="8640"/>
        </w:tabs>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tabs>
          <w:tab w:val="clear" w:pos="720"/>
          <w:tab w:val="left" w:pos="4320" w:leader="none"/>
        </w:tabs>
        <w:rPr>
          <w:rFonts w:ascii="Arial Narrow" w:hAnsi="Arial Narrow" w:cs="Arial Narrow"/>
        </w:rPr>
      </w:pPr>
      <w:r>
        <w:rPr>
          <w:rFonts w:cs="Arial Narrow" w:ascii="Arial Narrow" w:hAnsi="Arial Narrow"/>
        </w:rPr>
        <w:tab/>
        <w:t>June 11, 2001</w:t>
      </w:r>
    </w:p>
    <w:p>
      <w:pPr>
        <w:pStyle w:val="Footer"/>
        <w:tabs>
          <w:tab w:val="clear" w:pos="4320"/>
          <w:tab w:val="clear" w:pos="8640"/>
        </w:tabs>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Occidental Chemical Corporation</w:t>
      </w:r>
    </w:p>
    <w:p>
      <w:pPr>
        <w:pStyle w:val="Normal"/>
        <w:rPr>
          <w:rFonts w:ascii="Arial Narrow" w:hAnsi="Arial Narrow" w:cs="Arial Narrow"/>
        </w:rPr>
      </w:pPr>
      <w:r>
        <w:rPr>
          <w:rFonts w:cs="Arial Narrow" w:ascii="Arial Narrow" w:hAnsi="Arial Narrow"/>
        </w:rPr>
        <w:t xml:space="preserve">Attn:  Marvin G. Peters </w:t>
      </w:r>
    </w:p>
    <w:p>
      <w:pPr>
        <w:pStyle w:val="Normal"/>
        <w:rPr>
          <w:rFonts w:ascii="Arial Narrow" w:hAnsi="Arial Narrow" w:cs="Arial Narrow"/>
        </w:rPr>
      </w:pPr>
      <w:r>
        <w:rPr>
          <w:rFonts w:cs="Arial Narrow" w:ascii="Arial Narrow" w:hAnsi="Arial Narrow"/>
        </w:rPr>
        <w:t>Five East Greenway Plaza, Suite 1500</w:t>
      </w:r>
    </w:p>
    <w:p>
      <w:pPr>
        <w:pStyle w:val="Normal"/>
        <w:rPr>
          <w:rFonts w:ascii="Arial Narrow" w:hAnsi="Arial Narrow" w:cs="Arial Narrow"/>
        </w:rPr>
      </w:pPr>
      <w:r>
        <w:rPr>
          <w:rFonts w:cs="Arial Narrow" w:ascii="Arial Narrow" w:hAnsi="Arial Narrow"/>
        </w:rPr>
        <w:t>Houston, Texas  77046-0504</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RE:  Keep-ready agreement for HPL facilities at Occidental - Ingleside Measurement Station</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Gentlemen:</w:t>
      </w:r>
    </w:p>
    <w:p>
      <w:pPr>
        <w:pStyle w:val="Normal"/>
        <w:jc w:val="both"/>
        <w:rPr>
          <w:rFonts w:ascii="Arial Narrow" w:hAnsi="Arial Narrow" w:cs="Arial Narrow"/>
        </w:rPr>
      </w:pPr>
      <w:r>
        <w:rPr>
          <w:rFonts w:cs="Arial Narrow" w:ascii="Arial Narrow" w:hAnsi="Arial Narrow"/>
        </w:rPr>
      </w:r>
    </w:p>
    <w:p>
      <w:pPr>
        <w:pStyle w:val="Normal"/>
        <w:tabs>
          <w:tab w:val="left" w:pos="720" w:leader="none"/>
        </w:tabs>
        <w:jc w:val="both"/>
        <w:rPr>
          <w:rFonts w:ascii="Arial Narrow" w:hAnsi="Arial Narrow" w:cs="Arial Narrow"/>
        </w:rPr>
      </w:pPr>
      <w:r>
        <w:rPr>
          <w:rFonts w:cs="Arial Narrow" w:ascii="Arial Narrow" w:hAnsi="Arial Narrow"/>
        </w:rPr>
        <w:tab/>
        <w:t>The purpose of this Keep Ready Agreement (the “Agreement”) is to keep Houston Pipe Line Company’s (“HPL”) existing Occidental - Ingleside measurement facility (HPL Meter No. 1225) for Occidental Chemical Corporation (“Occidental”) on a stand-by basis for a term of one year from the effective date of this Agreement in order to meet Occidental’s gas requirements for such period.  In consideration of the mutual benefits to be derived therefrom, HPL and Occidental do hereby agree as follows:</w:t>
      </w:r>
    </w:p>
    <w:p>
      <w:pPr>
        <w:pStyle w:val="Normal"/>
        <w:jc w:val="both"/>
        <w:rPr>
          <w:rFonts w:ascii="Arial Narrow" w:hAnsi="Arial Narrow" w:cs="Arial Narrow"/>
        </w:rPr>
      </w:pPr>
      <w:r>
        <w:rPr>
          <w:rFonts w:cs="Arial Narrow" w:ascii="Arial Narrow" w:hAnsi="Arial Narrow"/>
        </w:rPr>
      </w:r>
    </w:p>
    <w:p>
      <w:pPr>
        <w:pStyle w:val="Normal"/>
        <w:numPr>
          <w:ilvl w:val="0"/>
          <w:numId w:val="2"/>
        </w:numPr>
        <w:tabs>
          <w:tab w:val="left" w:pos="720" w:leader="none"/>
        </w:tabs>
        <w:ind w:hanging="0" w:start="0" w:end="0"/>
        <w:jc w:val="both"/>
        <w:rPr>
          <w:rFonts w:ascii="Arial Narrow" w:hAnsi="Arial Narrow" w:cs="Arial Narrow"/>
        </w:rPr>
      </w:pPr>
      <w:r>
        <w:rPr>
          <w:rFonts w:cs="Arial Narrow" w:ascii="Arial Narrow" w:hAnsi="Arial Narrow"/>
        </w:rPr>
        <w:t xml:space="preserve">HPL and Occidental agree that in consideration for HPL’s agreement to retain its facilities, specifically Meter No. 1225, at the Occidental - Ingleside Measurement Station location and maintain its equipment for readiness for a one-year period in case Occidental and HPL enter into a Gas Supply Agreement providing for deliveries of Gas by HPL to Occidental at the Occidental - Ingleside Measurement Station, Occidental agrees to pay to HPL a payment of six thousand dollars ($6,000.00) contemporaneously with the execution of this agreement.  The six thousand dollar ($6,000.00) annual payment represents a prepayment of a monthly rental fee of five hundred dollars ($500.00).  Payment shall be made to Houston Pipe Line Company, Attention: HPL-Gas Network Operations, 1201 Louisiana, Houston, Texas, 77002.  </w:t>
      </w:r>
    </w:p>
    <w:p>
      <w:pPr>
        <w:pStyle w:val="Normal"/>
        <w:jc w:val="both"/>
        <w:rPr>
          <w:rFonts w:ascii="Arial Narrow" w:hAnsi="Arial Narrow" w:cs="Arial Narrow"/>
        </w:rPr>
      </w:pPr>
      <w:r>
        <w:rPr>
          <w:rFonts w:cs="Arial Narrow" w:ascii="Arial Narrow" w:hAnsi="Arial Narrow"/>
        </w:rPr>
      </w:r>
    </w:p>
    <w:p>
      <w:pPr>
        <w:pStyle w:val="Normal"/>
        <w:numPr>
          <w:ilvl w:val="0"/>
          <w:numId w:val="2"/>
        </w:numPr>
        <w:tabs>
          <w:tab w:val="left" w:pos="720" w:leader="none"/>
        </w:tabs>
        <w:ind w:hanging="0" w:start="0" w:end="0"/>
        <w:jc w:val="both"/>
        <w:rPr>
          <w:rFonts w:ascii="Arial Narrow" w:hAnsi="Arial Narrow" w:cs="Arial Narrow"/>
        </w:rPr>
      </w:pPr>
      <w:r>
        <w:rPr>
          <w:rFonts w:cs="Arial Narrow" w:ascii="Arial Narrow" w:hAnsi="Arial Narrow"/>
        </w:rPr>
        <w:t xml:space="preserve">Occidental shall use their best efforts not to disturb or displace any of HPL’s Facilities located at the Occidental-Ingleside Measurement Station.  Occidental shall notify HPL prior to undertaking any activity or operations which may affect the HPL Facilities.  Occidental shall be solely responsible for any repairs and payments required to repair any damages to HPL’s Facilities at or near the Occidental-Ingleside Measurement Station caused by Occidental, its employees, agents, representatives, contractors, subcontractors or invitees.  </w:t>
      </w:r>
    </w:p>
    <w:p>
      <w:pPr>
        <w:pStyle w:val="Normal"/>
        <w:jc w:val="both"/>
        <w:rPr>
          <w:rFonts w:ascii="Arial Narrow" w:hAnsi="Arial Narrow" w:cs="Arial Narrow"/>
        </w:rPr>
      </w:pPr>
      <w:r>
        <w:rPr>
          <w:rFonts w:cs="Arial Narrow" w:ascii="Arial Narrow" w:hAnsi="Arial Narrow"/>
        </w:rPr>
      </w:r>
    </w:p>
    <w:p>
      <w:pPr>
        <w:pStyle w:val="Normal"/>
        <w:numPr>
          <w:ilvl w:val="0"/>
          <w:numId w:val="2"/>
        </w:numPr>
        <w:tabs>
          <w:tab w:val="left" w:pos="720" w:leader="none"/>
        </w:tabs>
        <w:ind w:hanging="0" w:start="0" w:end="0"/>
        <w:jc w:val="both"/>
        <w:rPr>
          <w:rFonts w:ascii="Arial Narrow" w:hAnsi="Arial Narrow" w:cs="Arial Narrow"/>
        </w:rPr>
      </w:pPr>
      <w:r>
        <w:rPr>
          <w:rFonts w:cs="Arial Narrow" w:ascii="Arial Narrow" w:hAnsi="Arial Narrow"/>
        </w:rPr>
        <w:t xml:space="preserve">HPL shall operate and maintain or cause the operation and maintenance of the HPL Facilities in accordance with sound and prudent natural gas pipeline industry practice and shall be fully responsible for the operation and maintenance thereof and for all cost, expense and risk associated therewith, except as provided in Paragraph 2 above. </w:t>
      </w:r>
    </w:p>
    <w:p>
      <w:pPr>
        <w:pStyle w:val="Normal"/>
        <w:tabs>
          <w:tab w:val="left" w:pos="720" w:leader="none"/>
        </w:tabs>
        <w:jc w:val="both"/>
        <w:rPr>
          <w:rFonts w:ascii="Arial Narrow" w:hAnsi="Arial Narrow" w:cs="Arial Narrow"/>
        </w:rPr>
      </w:pPr>
      <w:r>
        <w:rPr>
          <w:rFonts w:cs="Arial Narrow" w:ascii="Arial Narrow" w:hAnsi="Arial Narrow"/>
        </w:rPr>
      </w:r>
    </w:p>
    <w:p>
      <w:pPr>
        <w:pStyle w:val="Normal"/>
        <w:tabs>
          <w:tab w:val="left" w:pos="720" w:leader="none"/>
        </w:tabs>
        <w:jc w:val="both"/>
        <w:rPr>
          <w:rFonts w:ascii="Arial Narrow" w:hAnsi="Arial Narrow" w:cs="Arial Narrow"/>
        </w:rPr>
      </w:pPr>
      <w:r>
        <w:rPr>
          <w:rFonts w:cs="Arial Narrow" w:ascii="Arial Narrow" w:hAnsi="Arial Narrow"/>
        </w:rPr>
        <w:t>4.</w:t>
        <w:tab/>
        <w:t xml:space="preserve">OCCIDENTAL SHALL BE LIABLE FOR AND AGREES TO INDEMNIFY AND SAVE HPL HARMLESS FROM AND AGAINST ANY AND ALL CLAIMS, DEMANDS, SUITS, ACTIONS, DEBTS, ACCOUNTS, DAMAGES, COSTS, LOSSES, LIABILITIES OR ANY OTHER CAUSE OF ACTION FOR DAMAGE TO PROPERTY AND INJURY TO OR DEATH OF PERSONS WHICH MAY, IN ANY WAY, RESULT FROM, GROW OUT OF OR ARISE IN CONNECTION WITH OCCIDENTAL’S EXERCISE OR ENJOYMENT OF THE STAND-BY RIGHTS GRANTED HEREIN, SAVE AND EXCEPT SUCH DAMAGE TO PROPERTY, INJURY TO OR DEATH OF PERSONS AS IS CAUSED BY THE GROSS NEGLIGENCE OR WILLFUL MISCONDUCT OF HPL; PROVIDED, HOWEVER, NEITHER PARTY SHALL BE LIABLE OR RESPONSIBLE TO THE OTHER PARTY TO THIS CONTRACT FOR ANY SPECIAL, INDIRECT, INCIDENTAL, CONSEQUENTIAL OR PUNITIVE DAMAGES OR LOST PROFITS THAT ARISE OUT OF OR RELATE TO THE PERFORMANCE OR BREACH OF THIS AGREEMENT. </w:t>
      </w:r>
    </w:p>
    <w:p>
      <w:pPr>
        <w:pStyle w:val="Normal"/>
        <w:numPr>
          <w:ilvl w:val="0"/>
          <w:numId w:val="0"/>
        </w:numPr>
        <w:tabs>
          <w:tab w:val="left" w:pos="720" w:leader="none"/>
        </w:tabs>
        <w:ind w:hanging="0" w:start="0"/>
        <w:jc w:val="both"/>
        <w:rPr>
          <w:rFonts w:ascii="Arial Narrow" w:hAnsi="Arial Narrow" w:cs="Arial Narrow"/>
        </w:rPr>
      </w:pPr>
      <w:r>
        <w:rPr>
          <w:rFonts w:cs="Arial Narrow" w:ascii="Arial Narrow" w:hAnsi="Arial Narrow"/>
        </w:rPr>
      </w:r>
    </w:p>
    <w:p>
      <w:pPr>
        <w:pStyle w:val="Normal"/>
        <w:tabs>
          <w:tab w:val="left" w:pos="720" w:leader="none"/>
        </w:tabs>
        <w:jc w:val="both"/>
        <w:rPr>
          <w:rFonts w:ascii="Arial Narrow" w:hAnsi="Arial Narrow" w:cs="Arial Narrow"/>
        </w:rPr>
      </w:pPr>
      <w:r>
        <w:rPr>
          <w:rFonts w:cs="Arial Narrow" w:ascii="Arial Narrow" w:hAnsi="Arial Narrow"/>
        </w:rPr>
        <w:t>5.</w:t>
        <w:tab/>
        <w:t xml:space="preserve">This letter agreement is effective as of June 1, 2001 and shall continue in effect through May 31, 2002, unless cancelled earlier by Occidental by providing HPL written notice of cancellation.  In the event Occidental cancels this agreement, it is agreed and understood that Occidental shall not be entitled to a refund of any portion(s) of the annual $6,000 keep ready payment. </w:t>
      </w:r>
    </w:p>
    <w:p>
      <w:pPr>
        <w:pStyle w:val="Normal"/>
        <w:tabs>
          <w:tab w:val="left" w:pos="720" w:leader="none"/>
        </w:tabs>
        <w:jc w:val="both"/>
        <w:rPr>
          <w:rFonts w:ascii="Arial Narrow" w:hAnsi="Arial Narrow" w:cs="Arial Narrow"/>
        </w:rPr>
      </w:pPr>
      <w:r>
        <w:rPr>
          <w:rFonts w:cs="Arial Narrow" w:ascii="Arial Narrow" w:hAnsi="Arial Narrow"/>
        </w:rPr>
      </w:r>
    </w:p>
    <w:p>
      <w:pPr>
        <w:pStyle w:val="Normal"/>
        <w:tabs>
          <w:tab w:val="left" w:pos="720" w:leader="none"/>
        </w:tabs>
        <w:jc w:val="both"/>
        <w:rPr>
          <w:rFonts w:ascii="Arial Narrow" w:hAnsi="Arial Narrow" w:cs="Arial Narrow"/>
        </w:rPr>
      </w:pPr>
      <w:r>
        <w:rPr>
          <w:rFonts w:cs="Arial Narrow" w:ascii="Arial Narrow" w:hAnsi="Arial Narrow"/>
        </w:rPr>
        <w:tab/>
        <w:t>If this letter correctly sets forth your understanding of our agreement, please so indicate by executing both copies of this letter in the spaces indicated and return both copies of the letter and your check made payable to Houston Pipe Line Company in the amount of $6,000.00.  We will execute both letter agreements and return one to you for your records.</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ab/>
        <w:tab/>
        <w:tab/>
        <w:tab/>
        <w:tab/>
        <w:tab/>
        <w:tab/>
        <w:t>Very truly yours,</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ab/>
        <w:tab/>
        <w:tab/>
        <w:tab/>
        <w:tab/>
        <w:tab/>
        <w:tab/>
        <w:t>HOUSTON PIPE LINE COMPAY</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ab/>
        <w:tab/>
        <w:tab/>
        <w:tab/>
        <w:tab/>
        <w:tab/>
        <w:tab/>
        <w:t>By: __________________________</w:t>
      </w:r>
    </w:p>
    <w:p>
      <w:pPr>
        <w:pStyle w:val="Normal"/>
        <w:jc w:val="both"/>
        <w:rPr>
          <w:rFonts w:ascii="Arial Narrow" w:hAnsi="Arial Narrow" w:cs="Arial Narrow"/>
        </w:rPr>
      </w:pPr>
      <w:r>
        <w:rPr>
          <w:rFonts w:cs="Arial Narrow" w:ascii="Arial Narrow" w:hAnsi="Arial Narrow"/>
        </w:rPr>
        <w:tab/>
        <w:tab/>
        <w:tab/>
        <w:tab/>
        <w:tab/>
        <w:tab/>
        <w:tab/>
        <w:t xml:space="preserve">Name:  </w:t>
        <w:tab/>
        <w:t>Steve Schneider</w:t>
      </w:r>
    </w:p>
    <w:p>
      <w:pPr>
        <w:pStyle w:val="Normal"/>
        <w:jc w:val="both"/>
        <w:rPr>
          <w:rFonts w:ascii="Arial Narrow" w:hAnsi="Arial Narrow" w:cs="Arial Narrow"/>
        </w:rPr>
      </w:pPr>
      <w:r>
        <w:rPr>
          <w:rFonts w:cs="Arial Narrow" w:ascii="Arial Narrow" w:hAnsi="Arial Narrow"/>
        </w:rPr>
        <w:tab/>
        <w:tab/>
        <w:tab/>
        <w:tab/>
        <w:tab/>
        <w:tab/>
        <w:tab/>
        <w:t xml:space="preserve">Title:  </w:t>
        <w:tab/>
        <w:t xml:space="preserve"> Vice-President</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 xml:space="preserve">ACCEPTED  AND AGREED TO this </w:t>
      </w:r>
    </w:p>
    <w:p>
      <w:pPr>
        <w:pStyle w:val="Normal"/>
        <w:jc w:val="both"/>
        <w:rPr>
          <w:rFonts w:ascii="Arial Narrow" w:hAnsi="Arial Narrow" w:cs="Arial Narrow"/>
        </w:rPr>
      </w:pPr>
      <w:r>
        <w:rPr>
          <w:rFonts w:cs="Arial Narrow" w:ascii="Arial Narrow" w:hAnsi="Arial Narrow"/>
        </w:rPr>
        <w:t>the ____ day of ___________, 2001.</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r>
    </w:p>
    <w:p>
      <w:pPr>
        <w:pStyle w:val="Normal"/>
        <w:spacing w:lineRule="atLeast" w:line="240"/>
        <w:jc w:val="both"/>
        <w:rPr>
          <w:rFonts w:ascii="Arial Narrow" w:hAnsi="Arial Narrow" w:cs="Arial Narrow"/>
        </w:rPr>
      </w:pPr>
      <w:r>
        <w:rPr>
          <w:rFonts w:cs="Arial Narrow" w:ascii="Arial Narrow" w:hAnsi="Arial Narrow"/>
        </w:rPr>
        <w:t>OCCIDENTAL CHEMICAL CORPORATION</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By: _________________________________</w:t>
      </w:r>
    </w:p>
    <w:p>
      <w:pPr>
        <w:pStyle w:val="Normal"/>
        <w:jc w:val="both"/>
        <w:rPr>
          <w:rFonts w:ascii="Arial Narrow" w:hAnsi="Arial Narrow" w:cs="Arial Narrow"/>
        </w:rPr>
      </w:pPr>
      <w:r>
        <w:rPr>
          <w:rFonts w:cs="Arial Narrow" w:ascii="Arial Narrow" w:hAnsi="Arial Narrow"/>
        </w:rPr>
        <w:t>Name: _______________________________</w:t>
      </w:r>
    </w:p>
    <w:p>
      <w:pPr>
        <w:pStyle w:val="Normal"/>
        <w:jc w:val="both"/>
        <w:rPr>
          <w:rFonts w:ascii="Arial Narrow" w:hAnsi="Arial Narrow" w:cs="Arial Narrow"/>
        </w:rPr>
      </w:pPr>
      <w:r>
        <w:rPr>
          <w:rFonts w:cs="Arial Narrow" w:ascii="Arial Narrow" w:hAnsi="Arial Narrow"/>
        </w:rPr>
        <w:t>Title: ________________________________</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r>
    </w:p>
    <w:sectPr>
      <w:headerReference w:type="default" r:id="rId2"/>
      <w:headerReference w:type="first" r:id="rId3"/>
      <w:footerReference w:type="default" r:id="rId4"/>
      <w:footerReference w:type="first" r:id="rId5"/>
      <w:type w:val="nextPage"/>
      <w:pgSz w:w="12240" w:h="15840"/>
      <w:pgMar w:left="1800" w:right="1800" w:gutter="0" w:header="864" w:top="1440" w:footer="86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/mnt/main-storage/datasets/enron-docs/doc/2001_057ltr.doc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/mnt/main-storage/datasets/enron-docs/doc/2001_057ltr.doc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rFonts w:ascii="Arial Narrow" w:hAnsi="Arial Narrow" w:cs="Arial Narrow"/>
      </w:rPr>
    </w:pPr>
    <w:r>
      <w:rPr>
        <w:rFonts w:cs="Arial Narrow" w:ascii="Arial Narrow" w:hAnsi="Arial Narrow"/>
      </w:rPr>
      <w:t>Occidental Chemical Corporation</w:t>
    </w:r>
  </w:p>
  <w:p>
    <w:pPr>
      <w:pStyle w:val="Normal"/>
      <w:rPr>
        <w:rFonts w:ascii="Arial Narrow" w:hAnsi="Arial Narrow" w:cs="Arial Narrow"/>
      </w:rPr>
    </w:pPr>
    <w:r>
      <w:rPr>
        <w:rFonts w:cs="Arial Narrow" w:ascii="Arial Narrow" w:hAnsi="Arial Narrow"/>
      </w:rPr>
      <w:t>June 11, 2001</w:t>
    </w:r>
  </w:p>
  <w:p>
    <w:pPr>
      <w:pStyle w:val="Normal"/>
      <w:rPr>
        <w:rStyle w:val="PageNumber"/>
      </w:rPr>
    </w:pPr>
    <w:r>
      <w:rPr>
        <w:rFonts w:cs="Arial Narrow" w:ascii="Arial Narrow" w:hAnsi="Arial Narrow"/>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240"/>
      <w:jc w:val="both"/>
      <w:outlineLvl w:val="0"/>
    </w:pPr>
    <w:rPr>
      <w:rFonts w:ascii="Arial" w:hAnsi="Arial" w:cs="Arial"/>
      <w:b/>
    </w:rPr>
  </w:style>
  <w:style w:type="paragraph" w:styleId="Heading2">
    <w:name w:val="heading 2"/>
    <w:basedOn w:val="Normal"/>
    <w:next w:val="Normal"/>
    <w:qFormat/>
    <w:pPr>
      <w:keepNext w:val="true"/>
      <w:widowControl w:val="false"/>
      <w:numPr>
        <w:ilvl w:val="1"/>
        <w:numId w:val="1"/>
      </w:numPr>
      <w:tabs>
        <w:tab w:val="left" w:pos="720" w:leader="none"/>
        <w:tab w:val="left" w:pos="2880" w:leader="none"/>
        <w:tab w:val="left" w:pos="4140" w:leader="none"/>
        <w:tab w:val="left" w:pos="7200" w:leader="none"/>
      </w:tabs>
      <w:spacing w:lineRule="atLeast" w:line="480"/>
      <w:ind w:hanging="0" w:start="0" w:end="-806"/>
      <w:jc w:val="both"/>
      <w:outlineLvl w:val="1"/>
    </w:pPr>
    <w:rPr>
      <w:sz w:val="26"/>
    </w:rPr>
  </w:style>
  <w:style w:type="paragraph" w:styleId="Heading3">
    <w:name w:val="heading 3"/>
    <w:basedOn w:val="Normal"/>
    <w:next w:val="Normal"/>
    <w:qFormat/>
    <w:pPr>
      <w:keepNext w:val="true"/>
      <w:widowControl w:val="false"/>
      <w:numPr>
        <w:ilvl w:val="2"/>
        <w:numId w:val="1"/>
      </w:numPr>
      <w:jc w:val="center"/>
      <w:outlineLvl w:val="2"/>
    </w:pPr>
    <w:rPr>
      <w:b/>
    </w:rPr>
  </w:style>
  <w:style w:type="paragraph" w:styleId="Heading4">
    <w:name w:val="heading 4"/>
    <w:basedOn w:val="Normal"/>
    <w:next w:val="Normal"/>
    <w:qFormat/>
    <w:pPr>
      <w:keepNext w:val="true"/>
      <w:widowControl w:val="false"/>
      <w:numPr>
        <w:ilvl w:val="3"/>
        <w:numId w:val="1"/>
      </w:numPr>
      <w:tabs>
        <w:tab w:val="left" w:pos="720" w:leader="none"/>
        <w:tab w:val="left" w:pos="4140" w:leader="none"/>
        <w:tab w:val="left" w:pos="5040" w:leader="none"/>
        <w:tab w:val="left" w:pos="5760" w:leader="none"/>
        <w:tab w:val="left" w:pos="7200" w:leader="none"/>
      </w:tabs>
      <w:ind w:hanging="0" w:start="0" w:end="-806"/>
      <w:jc w:val="both"/>
      <w:outlineLvl w:val="3"/>
    </w:pPr>
    <w:rPr>
      <w:sz w:val="24"/>
    </w:rPr>
  </w:style>
  <w:style w:type="paragraph" w:styleId="Heading5">
    <w:name w:val="heading 5"/>
    <w:basedOn w:val="Normal"/>
    <w:next w:val="Normal"/>
    <w:qFormat/>
    <w:pPr>
      <w:keepNext w:val="true"/>
      <w:widowControl w:val="false"/>
      <w:numPr>
        <w:ilvl w:val="4"/>
        <w:numId w:val="1"/>
      </w:numPr>
      <w:tabs>
        <w:tab w:val="left" w:pos="720" w:leader="none"/>
        <w:tab w:val="left" w:pos="1440" w:leader="none"/>
        <w:tab w:val="left" w:pos="7200" w:leader="none"/>
      </w:tabs>
      <w:spacing w:lineRule="auto" w:line="360"/>
      <w:ind w:hanging="0" w:start="0" w:end="-810"/>
      <w:jc w:val="center"/>
      <w:outlineLvl w:val="4"/>
    </w:pPr>
    <w:rPr>
      <w:b/>
      <w:sz w:val="28"/>
      <w:u w:val="single"/>
    </w:rPr>
  </w:style>
  <w:style w:type="paragraph" w:styleId="Heading6">
    <w:name w:val="heading 6"/>
    <w:basedOn w:val="Normal"/>
    <w:next w:val="Normal"/>
    <w:qFormat/>
    <w:pPr>
      <w:keepNext w:val="true"/>
      <w:numPr>
        <w:ilvl w:val="5"/>
        <w:numId w:val="1"/>
      </w:numPr>
      <w:jc w:val="center"/>
      <w:outlineLvl w:val="5"/>
    </w:pPr>
    <w:rPr>
      <w:sz w:val="24"/>
    </w:rPr>
  </w:style>
  <w:style w:type="paragraph" w:styleId="Heading7">
    <w:name w:val="heading 7"/>
    <w:basedOn w:val="Normal"/>
    <w:next w:val="Normal"/>
    <w:qFormat/>
    <w:pPr>
      <w:keepNext w:val="true"/>
      <w:numPr>
        <w:ilvl w:val="6"/>
        <w:numId w:val="1"/>
      </w:numPr>
      <w:tabs>
        <w:tab w:val="left" w:pos="720" w:leader="none"/>
        <w:tab w:val="left" w:pos="1440" w:leader="none"/>
        <w:tab w:val="left" w:pos="2160" w:leader="none"/>
        <w:tab w:val="left" w:pos="2880" w:leader="none"/>
        <w:tab w:val="left" w:pos="3600" w:leader="none"/>
        <w:tab w:val="left" w:pos="7200" w:leader="none"/>
      </w:tabs>
      <w:spacing w:lineRule="auto" w:line="360"/>
      <w:ind w:hanging="0" w:start="0" w:end="-810"/>
      <w:jc w:val="both"/>
      <w:outlineLvl w:val="6"/>
    </w:pPr>
    <w:rPr>
      <w:rFonts w:ascii="Arial" w:hAnsi="Arial" w:cs="Arial"/>
      <w:b/>
      <w:sz w:val="22"/>
    </w:rPr>
  </w:style>
  <w:style w:type="character" w:styleId="WW8Num1z0">
    <w:name w:val="WW8Num1z0"/>
    <w:qFormat/>
    <w:rPr>
      <w:rFonts w:ascii="Arial" w:hAnsi="Arial" w:cs="Arial"/>
      <w:b w:val="false"/>
      <w:i w:val="false"/>
      <w:sz w:val="20"/>
      <w:u w:val="none"/>
    </w:rPr>
  </w:style>
  <w:style w:type="character" w:styleId="WW8Num2z0">
    <w:name w:val="WW8Num2z0"/>
    <w:qFormat/>
    <w:rPr/>
  </w:style>
  <w:style w:type="character" w:styleId="WW8Num3z0">
    <w:name w:val="WW8Num3z0"/>
    <w:qFormat/>
    <w:rPr>
      <w:rFonts w:ascii="Arial" w:hAnsi="Arial" w:cs="Arial"/>
      <w:b w:val="false"/>
      <w:i w:val="false"/>
      <w:sz w:val="20"/>
      <w:u w:val="none"/>
    </w:rPr>
  </w:style>
  <w:style w:type="character" w:styleId="WW8Num4z0">
    <w:name w:val="WW8Num4z0"/>
    <w:qFormat/>
    <w:rPr>
      <w:rFonts w:ascii="Arial" w:hAnsi="Arial" w:cs="Arial"/>
      <w:b w:val="false"/>
      <w:i w:val="false"/>
      <w:sz w:val="20"/>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2430" w:leader="none"/>
        <w:tab w:val="left" w:pos="-2340" w:leader="none"/>
        <w:tab w:val="left" w:pos="720" w:leader="none"/>
        <w:tab w:val="left" w:pos="1170" w:leader="none"/>
      </w:tabs>
      <w:spacing w:lineRule="exact" w:line="240"/>
      <w:ind w:hanging="0" w:start="0" w:end="-144"/>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360" w:start="360" w:end="0"/>
    </w:pPr>
    <w:rPr/>
  </w:style>
  <w:style w:type="paragraph" w:styleId="BodyText2">
    <w:name w:val="Body Text 2"/>
    <w:basedOn w:val="Normal"/>
    <w:qFormat/>
    <w:pPr>
      <w:widowControl w:val="false"/>
      <w:tabs>
        <w:tab w:val="clear" w:pos="720"/>
        <w:tab w:val="left" w:pos="0" w:leader="none"/>
        <w:tab w:val="left" w:pos="2880" w:leader="none"/>
        <w:tab w:val="left" w:pos="7200" w:leader="none"/>
      </w:tabs>
      <w:spacing w:lineRule="auto" w:line="360" w:before="0" w:after="120"/>
      <w:ind w:firstLine="720" w:start="0" w:end="-806"/>
      <w:jc w:val="both"/>
    </w:pPr>
    <w:rPr>
      <w:sz w:val="24"/>
    </w:rPr>
  </w:style>
  <w:style w:type="paragraph" w:styleId="BodyText3">
    <w:name w:val="Body Text 3"/>
    <w:basedOn w:val="Normal"/>
    <w:qFormat/>
    <w:pPr>
      <w:tabs>
        <w:tab w:val="left" w:pos="720" w:leader="none"/>
        <w:tab w:val="left" w:pos="2880" w:leader="none"/>
        <w:tab w:val="left" w:pos="7200" w:leader="none"/>
      </w:tabs>
      <w:spacing w:lineRule="auto" w:line="360"/>
      <w:jc w:val="both"/>
    </w:pPr>
    <w:rPr>
      <w:sz w:val="24"/>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2001-06-11T13:44:00Z</dcterms:created>
  <dc:creator>appinst</dc:creator>
  <dc:description/>
  <dc:language>en-CA</dc:language>
  <cp:lastModifiedBy>dhyvl</cp:lastModifiedBy>
  <cp:lastPrinted>2000-06-14T11:48:00Z</cp:lastPrinted>
  <dcterms:modified xsi:type="dcterms:W3CDTF">2001-06-11T13:45:00Z</dcterms:modified>
  <cp:revision>3</cp:revision>
  <dc:subject/>
  <dc:title>DRAFT - Rev</dc:title>
</cp:coreProperties>
</file>