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eastAsia="Arial" w:cs="Arial"/>
        </w:rPr>
      </w:pPr>
      <w:r>
        <w:rPr>
          <w:rFonts w:eastAsia="Arial" w:cs="Arial" w:ascii="Arial" w:hAnsi="Arial"/>
        </w:rPr>
      </w:r>
    </w:p>
    <w:p>
      <w:pPr>
        <w:pStyle w:val="Normal"/>
        <w:jc w:val="center"/>
        <w:rPr>
          <w:rFonts w:ascii="Arial" w:hAnsi="Arial" w:eastAsia="Arial" w:cs="Arial"/>
        </w:rPr>
      </w:pPr>
      <w:r>
        <w:rPr>
          <w:rFonts w:eastAsia="Arial" w:cs="Arial" w:ascii="Arial" w:hAnsi="Arial"/>
        </w:rPr>
      </w:r>
    </w:p>
    <w:p>
      <w:pPr>
        <w:pStyle w:val="Normal"/>
        <w:jc w:val="center"/>
        <w:rPr>
          <w:rFonts w:ascii="Arial" w:hAnsi="Arial" w:eastAsia="Arial" w:cs="Arial"/>
        </w:rPr>
      </w:pPr>
      <w:r>
        <w:rPr>
          <w:rFonts w:eastAsia="Arial" w:cs="Arial" w:ascii="Arial" w:hAnsi="Arial"/>
        </w:rPr>
      </w:r>
    </w:p>
    <w:p>
      <w:pPr>
        <w:pStyle w:val="Normal"/>
        <w:jc w:val="center"/>
        <w:rPr>
          <w:rFonts w:ascii="Arial" w:hAnsi="Arial" w:eastAsia="Arial" w:cs="Arial"/>
        </w:rPr>
      </w:pPr>
      <w:r>
        <w:rPr>
          <w:rFonts w:eastAsia="Arial" w:cs="Arial" w:ascii="Arial" w:hAnsi="Arial"/>
        </w:rPr>
      </w:r>
    </w:p>
    <w:p>
      <w:pPr>
        <w:pStyle w:val="Normal"/>
        <w:jc w:val="center"/>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jc w:val="center"/>
        <w:rPr>
          <w:rFonts w:ascii="Arial" w:hAnsi="Arial" w:eastAsia="Arial" w:cs="Arial"/>
        </w:rPr>
      </w:pPr>
      <w:r>
        <w:rPr>
          <w:rFonts w:eastAsia="Arial" w:cs="Arial" w:ascii="Arial" w:hAnsi="Arial"/>
        </w:rPr>
        <w:t>June 11, 2001</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eastAsia="Arial" w:cs="Arial"/>
        </w:rPr>
      </w:pPr>
      <w:r>
        <w:rPr>
          <w:rFonts w:eastAsia="Arial" w:cs="Arial" w:ascii="Arial" w:hAnsi="Arial"/>
        </w:rPr>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eastAsia="Arial" w:cs="Arial"/>
        </w:rPr>
      </w:pPr>
      <w:r>
        <w:rPr>
          <w:rFonts w:eastAsia="Arial" w:cs="Arial" w:ascii="Arial" w:hAnsi="Arial"/>
        </w:rPr>
        <w:t>Oxy Vinyls L.P.</w:t>
        <w:tab/>
        <w:tab/>
        <w:tab/>
        <w:tab/>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eastAsia="Arial" w:cs="Arial"/>
        </w:rPr>
      </w:pPr>
      <w:r>
        <w:rPr>
          <w:rFonts w:eastAsia="Arial" w:cs="Arial" w:ascii="Arial" w:hAnsi="Arial"/>
        </w:rPr>
        <w:t>5 E. Greenway Plaza, Suite 1500</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eastAsia="Arial" w:cs="Arial"/>
        </w:rPr>
      </w:pPr>
      <w:r>
        <w:rPr>
          <w:rFonts w:eastAsia="Arial" w:cs="Arial" w:ascii="Arial" w:hAnsi="Arial"/>
        </w:rPr>
        <w:t>P. O. Box 27570</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eastAsia="Arial" w:cs="Arial"/>
        </w:rPr>
      </w:pPr>
      <w:r>
        <w:rPr>
          <w:rFonts w:eastAsia="Arial" w:cs="Arial" w:ascii="Arial" w:hAnsi="Arial"/>
        </w:rPr>
        <w:t>Houston, Texas  77227-7570</w:t>
      </w:r>
    </w:p>
    <w:p>
      <w:pPr>
        <w:pStyle w:val="Normal"/>
        <w:jc w:val="both"/>
        <w:rPr>
          <w:rFonts w:ascii="Arial" w:hAnsi="Arial" w:eastAsia="Arial" w:cs="Arial"/>
        </w:rPr>
      </w:pPr>
      <w:r>
        <w:rPr>
          <w:rFonts w:eastAsia="Arial" w:cs="Arial" w:ascii="Arial" w:hAnsi="Arial"/>
        </w:rPr>
      </w:r>
    </w:p>
    <w:p>
      <w:pPr>
        <w:pStyle w:val="Normal"/>
        <w:jc w:val="center"/>
        <w:rPr>
          <w:rFonts w:ascii="Arial" w:hAnsi="Arial" w:eastAsia="Arial" w:cs="Arial"/>
          <w:b/>
          <w:bCs/>
        </w:rPr>
      </w:pPr>
      <w:r>
        <w:rPr>
          <w:rFonts w:eastAsia="Arial" w:cs="Arial" w:ascii="Arial" w:hAnsi="Arial"/>
          <w:b/>
          <w:bCs/>
        </w:rPr>
        <w:t>FIRM CONFIRMATION--ATTACHED GENERAL TERMS &amp; CONDITIONS GOVERN</w:t>
      </w:r>
    </w:p>
    <w:p>
      <w:pPr>
        <w:pStyle w:val="Normal"/>
        <w:jc w:val="center"/>
        <w:rPr>
          <w:rFonts w:ascii="Arial" w:hAnsi="Arial" w:eastAsia="Arial" w:cs="Arial"/>
          <w:b/>
          <w:bCs/>
        </w:rPr>
      </w:pPr>
      <w:r>
        <w:rPr>
          <w:rFonts w:eastAsia="Arial" w:cs="Arial" w:ascii="Arial" w:hAnsi="Arial"/>
          <w:b/>
          <w:bCs/>
        </w:rPr>
      </w:r>
    </w:p>
    <w:p>
      <w:pPr>
        <w:pStyle w:val="Normal"/>
        <w:jc w:val="both"/>
        <w:rPr/>
      </w:pPr>
      <w:r>
        <w:rPr>
          <w:rFonts w:eastAsia="Arial" w:cs="Arial" w:ascii="Arial" w:hAnsi="Arial"/>
        </w:rPr>
        <w:t>This Firm Confirmation shall confirm the transaction agreed to on June 8, 2001 and binding between Oxy Vinyls L.P. ("</w:t>
      </w:r>
      <w:r>
        <w:rPr>
          <w:rFonts w:eastAsia="Arial" w:cs="Arial" w:ascii="Arial" w:hAnsi="Arial"/>
          <w:u w:val="single"/>
        </w:rPr>
        <w:t>Customer</w:t>
      </w:r>
      <w:r>
        <w:rPr>
          <w:rFonts w:eastAsia="Arial" w:cs="Arial" w:ascii="Arial" w:hAnsi="Arial"/>
        </w:rPr>
        <w:t>") and Houston Pipe Line Company ("</w:t>
      </w:r>
      <w:r>
        <w:rPr>
          <w:rFonts w:eastAsia="Arial" w:cs="Arial" w:ascii="Arial" w:hAnsi="Arial"/>
          <w:u w:val="single"/>
        </w:rPr>
        <w:t>Company</w:t>
      </w:r>
      <w:r>
        <w:rPr>
          <w:rFonts w:eastAsia="Arial" w:cs="Arial" w:ascii="Arial" w:hAnsi="Arial"/>
        </w:rPr>
        <w:t>") regarding the purchase and sale of gas on the following terms.  Customer to purchase and receive (“</w:t>
      </w:r>
      <w:r>
        <w:rPr>
          <w:rFonts w:eastAsia="Arial" w:cs="Arial" w:ascii="Arial" w:hAnsi="Arial"/>
          <w:b/>
          <w:bCs/>
          <w:u w:val="single"/>
        </w:rPr>
        <w:t>Buyer</w:t>
      </w:r>
      <w:r>
        <w:rPr>
          <w:rFonts w:eastAsia="Arial" w:cs="Arial" w:ascii="Arial" w:hAnsi="Arial"/>
        </w:rPr>
        <w:t>”) and Company to sell and deliver (“</w:t>
      </w:r>
      <w:r>
        <w:rPr>
          <w:rFonts w:eastAsia="Arial" w:cs="Arial" w:ascii="Arial" w:hAnsi="Arial"/>
          <w:b/>
          <w:bCs/>
          <w:u w:val="single"/>
        </w:rPr>
        <w:t>Seller</w:t>
      </w:r>
      <w:r>
        <w:rPr>
          <w:rFonts w:eastAsia="Arial" w:cs="Arial" w:ascii="Arial" w:hAnsi="Arial"/>
        </w:rPr>
        <w:t xml:space="preserve">”). </w:t>
      </w:r>
      <w:r>
        <w:rPr>
          <w:rFonts w:eastAsia="Arial" w:cs="Arial" w:ascii="Arial" w:hAnsi="Arial"/>
          <w:b/>
          <w:bCs/>
        </w:rPr>
        <w:t xml:space="preserve">TRANSACTION NUMBER:  </w:t>
      </w:r>
      <w:r>
        <w:rPr>
          <w:rFonts w:eastAsia="Arial" w:cs="Arial" w:ascii="Arial" w:hAnsi="Arial"/>
        </w:rPr>
        <w:t>___________</w:t>
      </w:r>
    </w:p>
    <w:p>
      <w:pPr>
        <w:pStyle w:val="Normal"/>
        <w:tabs>
          <w:tab w:val="clear" w:pos="720"/>
          <w:tab w:val="left" w:pos="8640" w:leader="none"/>
        </w:tabs>
        <w:ind w:hanging="5580" w:start="5580" w:end="0"/>
        <w:jc w:val="both"/>
        <w:rPr>
          <w:rFonts w:ascii="Arial" w:hAnsi="Arial" w:eastAsia="Arial" w:cs="Arial"/>
          <w:b/>
          <w:bCs/>
        </w:rPr>
      </w:pPr>
      <w:r>
        <w:rPr>
          <w:rFonts w:eastAsia="Arial" w:cs="Arial" w:ascii="Arial" w:hAnsi="Arial"/>
          <w:b/>
          <w:bCs/>
        </w:rPr>
      </w:r>
    </w:p>
    <w:p>
      <w:pPr>
        <w:pStyle w:val="Normal"/>
        <w:tabs>
          <w:tab w:val="clear" w:pos="720"/>
          <w:tab w:val="left" w:pos="4320" w:leader="none"/>
          <w:tab w:val="left" w:pos="5040" w:leader="none"/>
          <w:tab w:val="left" w:pos="8640" w:leader="none"/>
        </w:tabs>
        <w:ind w:hanging="5580" w:start="5580" w:end="0"/>
        <w:jc w:val="both"/>
        <w:rPr>
          <w:rFonts w:ascii="Arial" w:hAnsi="Arial" w:eastAsia="Arial" w:cs="Arial"/>
          <w:b/>
          <w:bCs/>
        </w:rPr>
      </w:pPr>
      <w:r>
        <w:rPr>
          <w:rFonts w:eastAsia="Arial" w:cs="Arial" w:ascii="Arial" w:hAnsi="Arial"/>
          <w:b/>
          <w:bCs/>
        </w:rPr>
        <w:tab/>
        <w:t>I.</w:t>
      </w:r>
    </w:p>
    <w:p>
      <w:pPr>
        <w:pStyle w:val="Normal"/>
        <w:tabs>
          <w:tab w:val="clear" w:pos="720"/>
          <w:tab w:val="left" w:pos="8640" w:leader="none"/>
        </w:tabs>
        <w:ind w:hanging="5580" w:start="5580" w:end="0"/>
        <w:jc w:val="both"/>
        <w:rPr>
          <w:rFonts w:ascii="Arial" w:hAnsi="Arial" w:eastAsia="Arial" w:cs="Arial"/>
          <w:b/>
          <w:bCs/>
        </w:rPr>
      </w:pPr>
      <w:r>
        <w:rPr>
          <w:rFonts w:eastAsia="Arial" w:cs="Arial" w:ascii="Arial" w:hAnsi="Arial"/>
          <w:b/>
          <w:bCs/>
        </w:rPr>
      </w:r>
    </w:p>
    <w:p>
      <w:pPr>
        <w:pStyle w:val="Normal"/>
        <w:tabs>
          <w:tab w:val="clear" w:pos="720"/>
          <w:tab w:val="left" w:pos="8640" w:leader="none"/>
        </w:tabs>
        <w:ind w:hanging="5580" w:start="5580" w:end="0"/>
        <w:jc w:val="both"/>
        <w:rPr>
          <w:rFonts w:ascii="Arial" w:hAnsi="Arial" w:eastAsia="Arial" w:cs="Arial"/>
          <w:b/>
          <w:bCs/>
        </w:rPr>
      </w:pPr>
      <w:r>
        <w:rPr>
          <w:rFonts w:eastAsia="Arial" w:cs="Arial" w:ascii="Arial" w:hAnsi="Arial"/>
          <w:b/>
          <w:bCs/>
        </w:rPr>
        <w:t xml:space="preserve">DESIGNATED QUANTITY (IN MMBTUS):  </w:t>
      </w:r>
    </w:p>
    <w:p>
      <w:pPr>
        <w:pStyle w:val="Normal"/>
        <w:tabs>
          <w:tab w:val="clear" w:pos="720"/>
          <w:tab w:val="left" w:pos="4320" w:leader="none"/>
          <w:tab w:val="left" w:pos="8640" w:leader="none"/>
        </w:tabs>
        <w:ind w:hanging="4140" w:start="4320" w:end="0"/>
        <w:jc w:val="both"/>
        <w:rPr/>
      </w:pPr>
      <w:r>
        <w:rPr>
          <w:rFonts w:eastAsia="Arial" w:cs="Arial" w:ascii="Arial" w:hAnsi="Arial"/>
          <w:b/>
          <w:bCs/>
        </w:rPr>
        <w:t>DAILY CONTRACT QUANTITY (:DCQ”):</w:t>
        <w:tab/>
      </w:r>
      <w:r>
        <w:rPr>
          <w:rFonts w:eastAsia="Arial" w:cs="Arial" w:ascii="Arial" w:hAnsi="Arial"/>
        </w:rPr>
        <w:t>6,000 MMBtu per Day.</w:t>
      </w:r>
    </w:p>
    <w:p>
      <w:pPr>
        <w:pStyle w:val="Normal"/>
        <w:tabs>
          <w:tab w:val="clear" w:pos="720"/>
          <w:tab w:val="left" w:pos="8640" w:leader="none"/>
        </w:tabs>
        <w:jc w:val="both"/>
        <w:rPr>
          <w:rFonts w:ascii="Arial" w:hAnsi="Arial" w:eastAsia="Arial" w:cs="Arial"/>
          <w:b/>
          <w:bCs/>
        </w:rPr>
      </w:pPr>
      <w:r>
        <w:rPr>
          <w:rFonts w:eastAsia="Arial" w:cs="Arial" w:ascii="Arial" w:hAnsi="Arial"/>
          <w:b/>
          <w:bCs/>
        </w:rPr>
      </w:r>
    </w:p>
    <w:p>
      <w:pPr>
        <w:pStyle w:val="Normal"/>
        <w:tabs>
          <w:tab w:val="clear" w:pos="720"/>
          <w:tab w:val="left" w:pos="8640" w:leader="none"/>
        </w:tabs>
        <w:ind w:hanging="4320" w:start="4320" w:end="90"/>
        <w:jc w:val="both"/>
        <w:rPr/>
      </w:pPr>
      <w:r>
        <w:rPr>
          <w:rFonts w:eastAsia="Arial" w:cs="Arial" w:ascii="Arial" w:hAnsi="Arial"/>
          <w:b/>
          <w:bCs/>
        </w:rPr>
        <w:t xml:space="preserve">DELIVERY POINT(S): </w:t>
        <w:tab/>
      </w:r>
      <w:r>
        <w:rPr>
          <w:rFonts w:eastAsia="Arial" w:cs="Arial" w:ascii="Arial" w:hAnsi="Arial"/>
        </w:rPr>
        <w:t>Houston Pipe Line Company Meter No. 1444 at Buyer’s Laporte, Texas facility.</w:t>
      </w:r>
    </w:p>
    <w:p>
      <w:pPr>
        <w:pStyle w:val="Normal"/>
        <w:tabs>
          <w:tab w:val="clear" w:pos="720"/>
          <w:tab w:val="left" w:pos="8640" w:leader="none"/>
        </w:tabs>
        <w:jc w:val="both"/>
        <w:rPr>
          <w:rFonts w:ascii="Arial" w:hAnsi="Arial" w:eastAsia="Arial" w:cs="Arial"/>
          <w:b/>
          <w:bCs/>
        </w:rPr>
      </w:pPr>
      <w:r>
        <w:rPr>
          <w:rFonts w:eastAsia="Arial" w:cs="Arial" w:ascii="Arial" w:hAnsi="Arial"/>
          <w:b/>
          <w:bCs/>
        </w:rPr>
      </w:r>
    </w:p>
    <w:p>
      <w:pPr>
        <w:pStyle w:val="Normal"/>
        <w:tabs>
          <w:tab w:val="clear" w:pos="720"/>
          <w:tab w:val="left" w:pos="4320" w:leader="none"/>
          <w:tab w:val="left" w:pos="8640" w:leader="none"/>
        </w:tabs>
        <w:jc w:val="both"/>
        <w:rPr/>
      </w:pPr>
      <w:r>
        <w:rPr>
          <w:rFonts w:eastAsia="Arial" w:cs="Arial" w:ascii="Arial" w:hAnsi="Arial"/>
          <w:b/>
          <w:bCs/>
        </w:rPr>
        <w:t xml:space="preserve">PERIOD OF DELIVERY:  </w:t>
      </w:r>
      <w:r>
        <w:rPr>
          <w:rFonts w:eastAsia="Arial" w:cs="Arial" w:ascii="Arial" w:hAnsi="Arial"/>
        </w:rPr>
        <w:tab/>
        <w:t>July 1, 2001 through June 30, 2002</w:t>
      </w:r>
    </w:p>
    <w:p>
      <w:pPr>
        <w:pStyle w:val="Normal"/>
        <w:jc w:val="both"/>
        <w:rPr>
          <w:rFonts w:ascii="Arial" w:hAnsi="Arial" w:eastAsia="Arial" w:cs="Arial"/>
          <w:b/>
          <w:bCs/>
        </w:rPr>
      </w:pPr>
      <w:r>
        <w:rPr>
          <w:rFonts w:eastAsia="Arial" w:cs="Arial" w:ascii="Arial" w:hAnsi="Arial"/>
          <w:b/>
          <w:bCs/>
        </w:rPr>
      </w:r>
    </w:p>
    <w:p>
      <w:pPr>
        <w:pStyle w:val="Normal"/>
        <w:ind w:hanging="4320" w:start="4320" w:end="0"/>
        <w:jc w:val="both"/>
        <w:rPr/>
      </w:pPr>
      <w:r>
        <w:rPr>
          <w:rFonts w:eastAsia="Arial" w:cs="Arial" w:ascii="Arial" w:hAnsi="Arial"/>
          <w:b/>
          <w:bCs/>
        </w:rPr>
        <w:t>CONTRACT PRICE (PER MMBTU):</w:t>
      </w:r>
      <w:r>
        <w:rPr>
          <w:rFonts w:eastAsia="Arial" w:cs="Arial" w:ascii="Arial" w:hAnsi="Arial"/>
        </w:rPr>
        <w:t xml:space="preserve"> </w:t>
        <w:tab/>
        <w:t xml:space="preserve"> I.</w:t>
        <w:tab/>
        <w:t xml:space="preserve">The Contract Price per MMBtu for each MMBtu of the DCQ during each Month during the Period of Delivery shall be equal to the "Index Price" published in </w:t>
      </w:r>
      <w:r>
        <w:rPr>
          <w:rFonts w:eastAsia="Arial" w:cs="Arial" w:ascii="Arial" w:hAnsi="Arial"/>
          <w:u w:val="single"/>
        </w:rPr>
        <w:t>Inside F.E.R.C.’s Gas Market Report</w:t>
      </w:r>
      <w:r>
        <w:rPr>
          <w:rFonts w:eastAsia="Arial" w:cs="Arial" w:ascii="Arial" w:hAnsi="Arial"/>
        </w:rPr>
        <w:t xml:space="preserve"> for the Houston Ship Channel/Beaumont area, as listed in the table entitled "Prices of Spot Gas Delivered to Pipelines" in the first-of-the-month issue of such publication for each Month during the Period of Delivery minus $0.0075/MMBtu.  Buyer, at its option and prior to the NYMEX Deadline, may request a "Fixed Basis Price".  The Fixed Basis Price for the Delivery Month shall be equal to the sum of:  </w:t>
      </w:r>
    </w:p>
    <w:p>
      <w:pPr>
        <w:pStyle w:val="Normal"/>
        <w:tabs>
          <w:tab w:val="clear" w:pos="720"/>
          <w:tab w:val="left" w:pos="360" w:leader="none"/>
          <w:tab w:val="left" w:pos="4320" w:leader="none"/>
          <w:tab w:val="left" w:pos="5040" w:leader="none"/>
          <w:tab w:val="left" w:pos="5400" w:leader="none"/>
        </w:tabs>
        <w:ind w:hanging="360" w:start="5400" w:end="0"/>
        <w:jc w:val="both"/>
        <w:rPr>
          <w:rFonts w:ascii="Arial" w:hAnsi="Arial" w:eastAsia="Arial" w:cs="Arial"/>
        </w:rPr>
      </w:pPr>
      <w:r>
        <w:rPr>
          <w:rFonts w:eastAsia="Arial" w:cs="Arial" w:ascii="Arial" w:hAnsi="Arial"/>
        </w:rPr>
        <w:t>(i)</w:t>
        <w:tab/>
        <w:t>the Fixed Price (which may be either a Negotiated Price or a Settled Price); plus</w:t>
      </w:r>
    </w:p>
    <w:p>
      <w:pPr>
        <w:pStyle w:val="BodyText2"/>
        <w:ind w:start="5400" w:end="0"/>
        <w:rPr/>
      </w:pPr>
      <w:r>
        <w:rPr/>
        <w:tab/>
        <w:t>(ii)</w:t>
        <w:tab/>
        <w:t>the applicable Fixed Basis Adjustment.</w:t>
      </w:r>
    </w:p>
    <w:p>
      <w:pPr>
        <w:pStyle w:val="BodyText2"/>
        <w:tabs>
          <w:tab w:val="clear" w:pos="5400"/>
          <w:tab w:val="left" w:pos="5040" w:leader="none"/>
        </w:tabs>
        <w:ind w:hanging="4680" w:start="4320" w:end="0"/>
        <w:rPr/>
      </w:pPr>
      <w:r>
        <w:rPr/>
        <w:tab/>
        <w:t>Buyer and Seller may agree to lock in the Fixed Price and the Fixed Basis Adjustment for the Delivery Month separately. At such time as Buyer and Seller agree to lock in the first of the two components of the Fixed Basis Price, they will agree to a default value for the other component, and such default value will apply if it has not been locked in by the NYMEX Deadline for the Delivery Month.</w:t>
      </w:r>
    </w:p>
    <w:p>
      <w:pPr>
        <w:pStyle w:val="Normal"/>
        <w:ind w:start="4320" w:end="0"/>
        <w:jc w:val="both"/>
        <w:rPr>
          <w:rFonts w:ascii="Arial" w:hAnsi="Arial" w:eastAsia="Arial" w:cs="Arial"/>
        </w:rPr>
      </w:pPr>
      <w:r>
        <w:rPr>
          <w:rFonts w:eastAsia="Arial" w:cs="Arial" w:ascii="Arial" w:hAnsi="Arial"/>
        </w:rPr>
        <w:t>2.</w:t>
        <w:tab/>
        <w:t>For the purposes of Section 2 of the Attached General Terms and Conditions, the Spot Price to be applicable under this Transaction shall be</w:t>
      </w:r>
      <w:r>
        <w:rPr>
          <w:rFonts w:eastAsia="Arial" w:cs="Arial" w:ascii="Arial" w:hAnsi="Arial"/>
          <w:sz w:val="18"/>
          <w:szCs w:val="18"/>
        </w:rPr>
        <w:t xml:space="preserve"> </w:t>
      </w:r>
      <w:r>
        <w:rPr>
          <w:rFonts w:eastAsia="Arial" w:cs="Arial" w:ascii="Arial" w:hAnsi="Arial"/>
        </w:rPr>
        <w:t xml:space="preserve">equal to Katy Spot Price (Midpoint), as hereinafter defined.  The term “Katy Spot Price (Midpoint) as used herein means midpoint price published in </w:t>
      </w:r>
      <w:r>
        <w:rPr>
          <w:rFonts w:eastAsia="Arial" w:cs="Arial" w:ascii="Arial" w:hAnsi="Arial"/>
          <w:u w:val="single"/>
        </w:rPr>
        <w:t>Gas Daily</w:t>
      </w:r>
      <w:r>
        <w:rPr>
          <w:rFonts w:eastAsia="Arial" w:cs="Arial" w:ascii="Arial" w:hAnsi="Arial"/>
        </w:rPr>
        <w:t>® (Financial Times Energy) in the column “Daily Price Survey” under East-Houston-Katy – Katy Plant tailgate as reported on the day following the day on which the default occurred; provided, if there is no midpoint price published for such day</w:t>
      </w:r>
      <w:r>
        <w:rPr>
          <w:rFonts w:eastAsia="Arial" w:cs="Arial" w:ascii="Arial" w:hAnsi="Arial"/>
          <w:color w:val="000000"/>
        </w:rPr>
        <w:t>, then the Katy Spot Price (Midpoint) shall be deemed to be the midpoint price for the next day for which a Katy Spot Price (Midpoint) can be determined.</w:t>
      </w:r>
    </w:p>
    <w:p>
      <w:pPr>
        <w:pStyle w:val="BodyTextIndent2"/>
        <w:rPr/>
      </w:pPr>
      <w:r>
        <w:rPr/>
        <w:t>3.</w:t>
        <w:tab/>
        <w:t>CERTAIN DEFINITIONS.  As used herein:</w:t>
      </w:r>
    </w:p>
    <w:p>
      <w:pPr>
        <w:pStyle w:val="Normal"/>
        <w:ind w:hanging="4320" w:start="4320" w:end="0"/>
        <w:jc w:val="both"/>
        <w:rPr/>
      </w:pPr>
      <w:r>
        <w:rPr>
          <w:rFonts w:eastAsia="Arial" w:cs="Arial" w:ascii="Arial" w:hAnsi="Arial"/>
        </w:rPr>
        <w:tab/>
        <w:t>"</w:t>
      </w:r>
      <w:r>
        <w:rPr>
          <w:rFonts w:eastAsia="Arial" w:cs="Arial" w:ascii="Arial" w:hAnsi="Arial"/>
          <w:u w:val="single"/>
        </w:rPr>
        <w:t>Fixed Price</w:t>
      </w:r>
      <w:r>
        <w:rPr>
          <w:rFonts w:eastAsia="Arial" w:cs="Arial" w:ascii="Arial" w:hAnsi="Arial"/>
        </w:rPr>
        <w:t>" means either a price agreed to by the Parties on the basis of the NYMEX Gas futures contracts then trading for the applicable Delivery Month (the "</w:t>
      </w:r>
      <w:r>
        <w:rPr>
          <w:rFonts w:eastAsia="Arial" w:cs="Arial" w:ascii="Arial" w:hAnsi="Arial"/>
          <w:u w:val="single"/>
        </w:rPr>
        <w:t>Negotiated Price</w:t>
      </w:r>
      <w:r>
        <w:rPr>
          <w:rFonts w:eastAsia="Arial" w:cs="Arial" w:ascii="Arial" w:hAnsi="Arial"/>
        </w:rPr>
        <w:t>"), or if no such price is agreed prior to the NYMEX Deadline of the applicable Delivery Month, a price equal to the settlement price of the NYMEX Gas futures contract for the last Trading Day of the applicable Delivery Month (the “</w:t>
      </w:r>
      <w:r>
        <w:rPr>
          <w:rFonts w:eastAsia="Arial" w:cs="Arial" w:ascii="Arial" w:hAnsi="Arial"/>
          <w:u w:val="single"/>
        </w:rPr>
        <w:t>Settled Price</w:t>
      </w:r>
      <w:r>
        <w:rPr>
          <w:rFonts w:eastAsia="Arial" w:cs="Arial" w:ascii="Arial" w:hAnsi="Arial"/>
        </w:rPr>
        <w:t>”).</w:t>
      </w:r>
    </w:p>
    <w:p>
      <w:pPr>
        <w:pStyle w:val="Normal"/>
        <w:ind w:hanging="4320" w:start="4320" w:end="0"/>
        <w:jc w:val="both"/>
        <w:rPr/>
      </w:pPr>
      <w:r>
        <w:rPr>
          <w:rFonts w:eastAsia="Arial" w:cs="Arial" w:ascii="Arial" w:hAnsi="Arial"/>
        </w:rPr>
        <w:tab/>
        <w:t>"</w:t>
      </w:r>
      <w:r>
        <w:rPr>
          <w:rFonts w:eastAsia="Arial" w:cs="Arial" w:ascii="Arial" w:hAnsi="Arial"/>
          <w:u w:val="single"/>
        </w:rPr>
        <w:t>Delivery Month(s)</w:t>
      </w:r>
      <w:r>
        <w:rPr>
          <w:rFonts w:eastAsia="Arial" w:cs="Arial" w:ascii="Arial" w:hAnsi="Arial"/>
        </w:rPr>
        <w:t>" means the agreed to Month(s) for which a Fixed Basis Price is effective for any Designated Quantity.</w:t>
      </w:r>
    </w:p>
    <w:p>
      <w:pPr>
        <w:pStyle w:val="Normal"/>
        <w:ind w:hanging="4320" w:start="4320" w:end="0"/>
        <w:jc w:val="both"/>
        <w:rPr/>
      </w:pPr>
      <w:r>
        <w:rPr>
          <w:rFonts w:eastAsia="Arial" w:cs="Arial" w:ascii="Arial" w:hAnsi="Arial"/>
        </w:rPr>
        <w:tab/>
        <w:t>"</w:t>
      </w:r>
      <w:r>
        <w:rPr>
          <w:rFonts w:eastAsia="Arial" w:cs="Arial" w:ascii="Arial" w:hAnsi="Arial"/>
          <w:u w:val="single"/>
        </w:rPr>
        <w:t>Fixed Basis Adjustment</w:t>
      </w:r>
      <w:r>
        <w:rPr>
          <w:rFonts w:eastAsia="Arial" w:cs="Arial" w:ascii="Arial" w:hAnsi="Arial"/>
        </w:rPr>
        <w:t>" means the amount, which may be positive or negative, as agreed to by Seller and Buyer for each applicable Delivery Month based on the relationship between the NYMEX Gas futures contract for the Delivery Month and the market price for gas at the Delivery Point.</w:t>
      </w:r>
    </w:p>
    <w:p>
      <w:pPr>
        <w:pStyle w:val="Normal"/>
        <w:ind w:start="4320" w:end="0"/>
        <w:jc w:val="both"/>
        <w:rPr/>
      </w:pPr>
      <w:r>
        <w:rPr>
          <w:rFonts w:eastAsia="Arial" w:cs="Arial" w:ascii="Arial" w:hAnsi="Arial"/>
        </w:rPr>
        <w:t>"</w:t>
      </w:r>
      <w:r>
        <w:rPr>
          <w:rFonts w:eastAsia="Arial" w:cs="Arial" w:ascii="Arial" w:hAnsi="Arial"/>
          <w:u w:val="single"/>
        </w:rPr>
        <w:t>NYMEX Deadline</w:t>
      </w:r>
      <w:r>
        <w:rPr>
          <w:rFonts w:eastAsia="Arial" w:cs="Arial" w:ascii="Arial" w:hAnsi="Arial"/>
        </w:rPr>
        <w:t>" means 12:00 P.M. C.T. of the last Trading Day of the NYMEX Gas futures contract for the applicable Delivery Month.</w:t>
      </w:r>
    </w:p>
    <w:p>
      <w:pPr>
        <w:pStyle w:val="Normal"/>
        <w:ind w:hanging="4320" w:start="4320" w:end="0"/>
        <w:jc w:val="both"/>
        <w:rPr/>
      </w:pPr>
      <w:r>
        <w:rPr>
          <w:rFonts w:eastAsia="Arial" w:cs="Arial" w:ascii="Arial" w:hAnsi="Arial"/>
        </w:rPr>
        <w:tab/>
        <w:t>"</w:t>
      </w:r>
      <w:r>
        <w:rPr>
          <w:rFonts w:eastAsia="Arial" w:cs="Arial" w:ascii="Arial" w:hAnsi="Arial"/>
          <w:u w:val="single"/>
        </w:rPr>
        <w:t>Trading Day</w:t>
      </w:r>
      <w:r>
        <w:rPr>
          <w:rFonts w:eastAsia="Arial" w:cs="Arial" w:ascii="Arial" w:hAnsi="Arial"/>
        </w:rPr>
        <w:t xml:space="preserve">" means any Day for which a NYMEX Gas futures contract is determinable.  </w:t>
      </w:r>
    </w:p>
    <w:p>
      <w:pPr>
        <w:pStyle w:val="BodyTextIndent2"/>
        <w:rPr/>
      </w:pPr>
      <w:r>
        <w:rPr/>
        <w:t>4.</w:t>
        <w:tab/>
        <w:t xml:space="preserve">RIGHT TO DESIGNATE A FIXED BASIS PRICE.  Customer may request a Fixed Basis Price by contacting Company, in a telephone conversation which may be recorded occurring between the hours of 8:00 a.m. and 5:00 p.m. C.T. requesting any such Fixed Basis Price for a Delivery Month(s) for which the price is desired; </w:t>
      </w:r>
      <w:r>
        <w:rPr>
          <w:u w:val="single"/>
        </w:rPr>
        <w:t>provided</w:t>
      </w:r>
      <w:r>
        <w:rPr/>
        <w:t>, any such request by Customer must be made no later than the NYMEX Deadline.  Any recorded offer and acceptance (the "</w:t>
      </w:r>
      <w:r>
        <w:rPr>
          <w:u w:val="single"/>
        </w:rPr>
        <w:t>Recorded Agreement</w:t>
      </w:r>
      <w:r>
        <w:rPr/>
        <w:t>") shall constitute the agreement by which the Parties are legally bound and the means by which the Parties are identified and authenticate a Transaction.  In addition, but not in lieu of the Recorded Agreement, Company may thereafter send a facsimile to Customer which confirms the Recorded Agreement (the "</w:t>
      </w:r>
      <w:r>
        <w:rPr>
          <w:u w:val="single"/>
        </w:rPr>
        <w:t>Fixed Basis Price Election Notice</w:t>
      </w:r>
      <w:r>
        <w:rPr/>
        <w:t>") in a form adequate at law.  The Parties agree that any objections to the contents of the Fixed Basis Price Election Notice confirmation shall be made in writing within 24 hours for all purposes hereunder and at law.  Each Recorded Agreement and, as available, each Fixed Basis Price Election Notice shall form a part of the this agreement for all purposes.  The Parties agree not to contest or assert a defense to the validity or enforceability of any Recorded Agreement entered into in accordance herewith under laws relating to whether certain agreements are to be in writing or signed by the Party to be thereby bound or the authority of any employee to enter into the Recorded Agreement.</w:t>
      </w:r>
    </w:p>
    <w:p>
      <w:pPr>
        <w:pStyle w:val="Normal"/>
        <w:ind w:hanging="4320" w:start="4320" w:end="0"/>
        <w:jc w:val="both"/>
        <w:rPr>
          <w:rFonts w:ascii="Arial" w:hAnsi="Arial" w:eastAsia="Arial" w:cs="Arial"/>
        </w:rPr>
      </w:pPr>
      <w:r>
        <w:rPr>
          <w:rFonts w:eastAsia="Arial" w:cs="Arial" w:ascii="Arial" w:hAnsi="Arial"/>
        </w:rPr>
        <w:tab/>
        <w:t xml:space="preserve">Although a Fixed Basis Price may not be converted to another price during the Delivery Months for which it has been elected, if requested by a party, the parties may agree to cash out, settle up and unwind such transaction.  </w:t>
      </w:r>
    </w:p>
    <w:p>
      <w:pPr>
        <w:pStyle w:val="Normal"/>
        <w:tabs>
          <w:tab w:val="clear" w:pos="720"/>
          <w:tab w:val="center" w:pos="10800" w:leader="none"/>
        </w:tabs>
        <w:jc w:val="both"/>
        <w:rPr>
          <w:rFonts w:ascii="Arial" w:hAnsi="Arial" w:eastAsia="Arial" w:cs="Arial"/>
        </w:rPr>
      </w:pPr>
      <w:r>
        <w:rPr>
          <w:rFonts w:eastAsia="Arial" w:cs="Arial" w:ascii="Arial" w:hAnsi="Arial"/>
        </w:rPr>
      </w:r>
    </w:p>
    <w:p>
      <w:pPr>
        <w:pStyle w:val="Normal"/>
        <w:tabs>
          <w:tab w:val="clear" w:pos="720"/>
          <w:tab w:val="left" w:pos="4320" w:leader="none"/>
          <w:tab w:val="center" w:pos="10800" w:leader="none"/>
        </w:tabs>
        <w:jc w:val="both"/>
        <w:rPr>
          <w:rFonts w:ascii="Arial" w:hAnsi="Arial" w:eastAsia="Arial" w:cs="Arial"/>
        </w:rPr>
      </w:pPr>
      <w:r>
        <w:rPr>
          <w:rFonts w:eastAsia="Arial" w:cs="Arial" w:ascii="Arial" w:hAnsi="Arial"/>
        </w:rPr>
        <w:tab/>
        <w:t>II.</w:t>
      </w:r>
    </w:p>
    <w:p>
      <w:pPr>
        <w:pStyle w:val="Normal"/>
        <w:tabs>
          <w:tab w:val="clear" w:pos="720"/>
          <w:tab w:val="center" w:pos="10800" w:leader="none"/>
        </w:tabs>
        <w:jc w:val="both"/>
        <w:rPr>
          <w:rFonts w:ascii="Arial" w:hAnsi="Arial" w:eastAsia="Arial" w:cs="Arial"/>
        </w:rPr>
      </w:pPr>
      <w:r>
        <w:rPr>
          <w:rFonts w:eastAsia="Arial" w:cs="Arial" w:ascii="Arial" w:hAnsi="Arial"/>
        </w:rPr>
      </w:r>
    </w:p>
    <w:p>
      <w:pPr>
        <w:pStyle w:val="Normal"/>
        <w:tabs>
          <w:tab w:val="clear" w:pos="720"/>
          <w:tab w:val="center" w:pos="10800" w:leader="none"/>
        </w:tabs>
        <w:jc w:val="both"/>
        <w:rPr>
          <w:rFonts w:ascii="Arial" w:hAnsi="Arial" w:eastAsia="Arial" w:cs="Arial"/>
        </w:rPr>
      </w:pPr>
      <w:r>
        <w:rPr>
          <w:rFonts w:eastAsia="Arial" w:cs="Arial" w:ascii="Arial" w:hAnsi="Arial"/>
          <w:b/>
          <w:bCs/>
        </w:rPr>
        <w:t>NOTICE AND COMMUNICATION TO  COMPANY, AS FOLLOWS:</w:t>
      </w:r>
    </w:p>
    <w:p>
      <w:pPr>
        <w:pStyle w:val="Normal"/>
        <w:tabs>
          <w:tab w:val="clear" w:pos="720"/>
          <w:tab w:val="left" w:pos="8460" w:leader="none"/>
        </w:tabs>
        <w:ind w:hanging="5400" w:start="5400" w:end="0"/>
        <w:jc w:val="both"/>
        <w:rPr>
          <w:rFonts w:ascii="Arial" w:hAnsi="Arial" w:eastAsia="Arial" w:cs="Arial"/>
          <w:b/>
          <w:bCs/>
        </w:rPr>
      </w:pPr>
      <w:r>
        <w:rPr>
          <w:rFonts w:eastAsia="Arial" w:cs="Arial" w:ascii="Arial" w:hAnsi="Arial"/>
          <w:b/>
          <w:bCs/>
        </w:rPr>
      </w:r>
    </w:p>
    <w:p>
      <w:pPr>
        <w:pStyle w:val="Normal"/>
        <w:tabs>
          <w:tab w:val="clear" w:pos="720"/>
          <w:tab w:val="left" w:pos="8460" w:leader="none"/>
        </w:tabs>
        <w:ind w:hanging="5400" w:start="5400" w:end="0"/>
        <w:jc w:val="both"/>
        <w:rPr>
          <w:rFonts w:ascii="Arial" w:hAnsi="Arial" w:eastAsia="Arial" w:cs="Arial"/>
          <w:b/>
          <w:bCs/>
        </w:rPr>
      </w:pPr>
      <w:r>
        <w:rPr>
          <w:rFonts w:eastAsia="Arial" w:cs="Arial" w:ascii="Arial" w:hAnsi="Arial"/>
          <w:b/>
          <w:bCs/>
        </w:rPr>
        <w:t>NOTICES/CORRESPONDENCE:</w:t>
      </w:r>
    </w:p>
    <w:p>
      <w:pPr>
        <w:pStyle w:val="Normal"/>
        <w:tabs>
          <w:tab w:val="clear" w:pos="720"/>
          <w:tab w:val="left" w:pos="9000" w:leader="none"/>
        </w:tabs>
        <w:ind w:hanging="5400" w:start="5400" w:end="0"/>
        <w:jc w:val="both"/>
        <w:rPr>
          <w:rFonts w:ascii="Arial" w:hAnsi="Arial" w:eastAsia="Arial" w:cs="Arial"/>
        </w:rPr>
      </w:pPr>
      <w:r>
        <w:rPr>
          <w:rFonts w:eastAsia="Arial" w:cs="Arial" w:ascii="Arial" w:hAnsi="Arial"/>
        </w:rPr>
        <w:t>Houston Pipe Line Company</w:t>
      </w:r>
    </w:p>
    <w:p>
      <w:pPr>
        <w:pStyle w:val="Normal"/>
        <w:tabs>
          <w:tab w:val="clear" w:pos="720"/>
          <w:tab w:val="left" w:pos="9000" w:leader="none"/>
        </w:tabs>
        <w:ind w:hanging="5400" w:start="5400" w:end="0"/>
        <w:jc w:val="both"/>
        <w:rPr>
          <w:rFonts w:ascii="Arial" w:hAnsi="Arial" w:eastAsia="Arial" w:cs="Arial"/>
        </w:rPr>
      </w:pPr>
      <w:r>
        <w:rPr>
          <w:rFonts w:eastAsia="Arial" w:cs="Arial" w:ascii="Arial" w:hAnsi="Arial"/>
        </w:rPr>
        <w:t>1201 Louisiana</w:t>
      </w:r>
    </w:p>
    <w:p>
      <w:pPr>
        <w:pStyle w:val="Normal"/>
        <w:tabs>
          <w:tab w:val="clear" w:pos="720"/>
          <w:tab w:val="center" w:pos="5400" w:leader="none"/>
          <w:tab w:val="left" w:pos="9000" w:leader="none"/>
        </w:tabs>
        <w:ind w:hanging="5400" w:start="5400" w:end="0"/>
        <w:jc w:val="both"/>
        <w:rPr>
          <w:rFonts w:ascii="Arial" w:hAnsi="Arial" w:eastAsia="Arial" w:cs="Arial"/>
        </w:rPr>
      </w:pPr>
      <w:r>
        <w:rPr>
          <w:rFonts w:eastAsia="Arial" w:cs="Arial" w:ascii="Arial" w:hAnsi="Arial"/>
        </w:rPr>
        <w:t>Houston, Texas  77002</w:t>
      </w:r>
    </w:p>
    <w:p>
      <w:pPr>
        <w:pStyle w:val="Normal"/>
        <w:tabs>
          <w:tab w:val="clear" w:pos="720"/>
          <w:tab w:val="center" w:pos="5400" w:leader="none"/>
          <w:tab w:val="left" w:pos="9000" w:leader="none"/>
        </w:tabs>
        <w:ind w:hanging="5400" w:start="5400" w:end="0"/>
        <w:jc w:val="both"/>
        <w:rPr>
          <w:rFonts w:ascii="Arial" w:hAnsi="Arial" w:eastAsia="Arial" w:cs="Arial"/>
        </w:rPr>
      </w:pPr>
      <w:r>
        <w:rPr>
          <w:rFonts w:eastAsia="Arial" w:cs="Arial" w:ascii="Arial" w:hAnsi="Arial"/>
        </w:rPr>
        <w:t>Attn:  Documentation and Deal Clearing Desk</w:t>
      </w:r>
    </w:p>
    <w:p>
      <w:pPr>
        <w:pStyle w:val="Normal"/>
        <w:tabs>
          <w:tab w:val="clear" w:pos="720"/>
          <w:tab w:val="center" w:pos="5400" w:leader="none"/>
          <w:tab w:val="left" w:pos="9000" w:leader="none"/>
        </w:tabs>
        <w:ind w:hanging="5400" w:start="5400" w:end="0"/>
        <w:jc w:val="both"/>
        <w:rPr>
          <w:rFonts w:ascii="Arial" w:hAnsi="Arial" w:eastAsia="Arial" w:cs="Arial"/>
        </w:rPr>
      </w:pPr>
      <w:r>
        <w:rPr>
          <w:rFonts w:eastAsia="Arial" w:cs="Arial" w:ascii="Arial" w:hAnsi="Arial"/>
        </w:rPr>
        <w:t>Facsimile No. (____) ____-______</w:t>
      </w:r>
    </w:p>
    <w:p>
      <w:pPr>
        <w:pStyle w:val="Normal"/>
        <w:tabs>
          <w:tab w:val="clear" w:pos="720"/>
          <w:tab w:val="left" w:pos="9000" w:leader="none"/>
        </w:tabs>
        <w:ind w:hanging="5400" w:start="5400" w:end="0"/>
        <w:jc w:val="both"/>
        <w:rPr>
          <w:rFonts w:ascii="Arial" w:hAnsi="Arial" w:eastAsia="Arial" w:cs="Arial"/>
          <w:b/>
          <w:bCs/>
        </w:rPr>
      </w:pPr>
      <w:r>
        <w:rPr>
          <w:rFonts w:eastAsia="Arial" w:cs="Arial" w:ascii="Arial" w:hAnsi="Arial"/>
          <w:b/>
          <w:bCs/>
        </w:rPr>
        <w:t>PAYMENTS:</w:t>
      </w:r>
    </w:p>
    <w:p>
      <w:pPr>
        <w:pStyle w:val="Normal"/>
        <w:tabs>
          <w:tab w:val="clear" w:pos="720"/>
          <w:tab w:val="center" w:pos="5760" w:leader="none"/>
        </w:tabs>
        <w:jc w:val="both"/>
        <w:rPr>
          <w:rFonts w:ascii="Arial" w:hAnsi="Arial" w:eastAsia="Arial" w:cs="Arial"/>
        </w:rPr>
      </w:pPr>
      <w:r>
        <w:rPr>
          <w:rFonts w:eastAsia="Arial" w:cs="Arial" w:ascii="Arial" w:hAnsi="Arial"/>
        </w:rPr>
        <w:t>Houston Pipe Line Company</w:t>
      </w:r>
    </w:p>
    <w:p>
      <w:pPr>
        <w:pStyle w:val="Normal"/>
        <w:tabs>
          <w:tab w:val="clear" w:pos="720"/>
          <w:tab w:val="center" w:pos="5760" w:leader="none"/>
        </w:tabs>
        <w:jc w:val="both"/>
        <w:rPr>
          <w:rFonts w:ascii="Arial" w:hAnsi="Arial" w:eastAsia="Arial" w:cs="Arial"/>
        </w:rPr>
      </w:pPr>
      <w:r>
        <w:rPr>
          <w:rFonts w:eastAsia="Arial" w:cs="Arial" w:ascii="Arial" w:hAnsi="Arial"/>
        </w:rPr>
        <w:t>ABA Routing 111000025 NationsBank Tx  Account No. 3750494141</w:t>
      </w:r>
    </w:p>
    <w:p>
      <w:pPr>
        <w:pStyle w:val="Normal"/>
        <w:tabs>
          <w:tab w:val="clear" w:pos="720"/>
          <w:tab w:val="left" w:pos="9000" w:leader="none"/>
        </w:tabs>
        <w:ind w:hanging="5400" w:start="5400" w:end="0"/>
        <w:jc w:val="both"/>
        <w:rPr>
          <w:rFonts w:ascii="Arial" w:hAnsi="Arial" w:eastAsia="Arial" w:cs="Arial"/>
          <w:b/>
          <w:bCs/>
        </w:rPr>
      </w:pPr>
      <w:r>
        <w:rPr>
          <w:rFonts w:eastAsia="Arial" w:cs="Arial" w:ascii="Arial" w:hAnsi="Arial"/>
          <w:b/>
          <w:bCs/>
        </w:rPr>
        <w:t>NOMINATIONS TO COMPANY:</w:t>
      </w:r>
    </w:p>
    <w:p>
      <w:pPr>
        <w:pStyle w:val="Normal"/>
        <w:tabs>
          <w:tab w:val="clear" w:pos="720"/>
          <w:tab w:val="left" w:pos="9000" w:leader="none"/>
        </w:tabs>
        <w:ind w:hanging="5400" w:start="5400" w:end="0"/>
        <w:jc w:val="both"/>
        <w:rPr>
          <w:rFonts w:ascii="Arial" w:hAnsi="Arial" w:eastAsia="Arial" w:cs="Arial"/>
        </w:rPr>
      </w:pPr>
      <w:r>
        <w:rPr>
          <w:rFonts w:eastAsia="Arial" w:cs="Arial" w:ascii="Arial" w:hAnsi="Arial"/>
        </w:rPr>
        <w:t>1(800)356-9427/1(800)FLOWGAS or Facsimile No. (713) 646-2372</w:t>
      </w:r>
    </w:p>
    <w:p>
      <w:pPr>
        <w:pStyle w:val="Normal"/>
        <w:tabs>
          <w:tab w:val="clear" w:pos="720"/>
          <w:tab w:val="left" w:pos="9000" w:leader="none"/>
        </w:tabs>
        <w:ind w:hanging="5400" w:start="5400" w:end="0"/>
        <w:jc w:val="both"/>
        <w:rPr>
          <w:rFonts w:ascii="Arial" w:hAnsi="Arial" w:eastAsia="Arial" w:cs="Arial"/>
          <w:b/>
          <w:bCs/>
        </w:rPr>
      </w:pPr>
      <w:r>
        <w:rPr>
          <w:rFonts w:eastAsia="Arial" w:cs="Arial" w:ascii="Arial" w:hAnsi="Arial"/>
          <w:b/>
          <w:bCs/>
        </w:rPr>
        <w:t>SCHEDULING CONFIRMATIONS TO COMPANY’S TRANSPORTER:</w:t>
      </w:r>
    </w:p>
    <w:p>
      <w:pPr>
        <w:pStyle w:val="Normal"/>
        <w:tabs>
          <w:tab w:val="clear" w:pos="720"/>
          <w:tab w:val="left" w:pos="9000" w:leader="none"/>
        </w:tabs>
        <w:ind w:hanging="5400" w:start="5400" w:end="0"/>
        <w:jc w:val="both"/>
        <w:rPr>
          <w:rFonts w:ascii="Arial" w:hAnsi="Arial" w:eastAsia="Arial" w:cs="Arial"/>
        </w:rPr>
      </w:pPr>
      <w:r>
        <w:rPr>
          <w:rFonts w:eastAsia="Arial" w:cs="Arial" w:ascii="Arial" w:hAnsi="Arial"/>
        </w:rPr>
        <w:t>Attn: HPL Scheduling</w:t>
      </w:r>
    </w:p>
    <w:p>
      <w:pPr>
        <w:pStyle w:val="Normal"/>
        <w:tabs>
          <w:tab w:val="clear" w:pos="720"/>
          <w:tab w:val="left" w:pos="9000" w:leader="none"/>
        </w:tabs>
        <w:ind w:hanging="5400" w:start="5400" w:end="0"/>
        <w:jc w:val="both"/>
        <w:rPr>
          <w:rFonts w:ascii="Arial" w:hAnsi="Arial" w:eastAsia="Arial" w:cs="Arial"/>
        </w:rPr>
      </w:pPr>
      <w:r>
        <w:rPr>
          <w:rFonts w:eastAsia="Arial" w:cs="Arial" w:ascii="Arial" w:hAnsi="Arial"/>
        </w:rPr>
        <w:t>Facsimile No.: (713) 646-5799</w:t>
      </w:r>
    </w:p>
    <w:p>
      <w:pPr>
        <w:pStyle w:val="Normal"/>
        <w:jc w:val="both"/>
        <w:rPr>
          <w:rFonts w:ascii="Arial" w:hAnsi="Arial" w:eastAsia="Arial" w:cs="Arial"/>
        </w:rPr>
      </w:pPr>
      <w:r>
        <w:rPr>
          <w:rFonts w:eastAsia="Arial" w:cs="Arial" w:ascii="Arial" w:hAnsi="Arial"/>
        </w:rPr>
      </w:r>
    </w:p>
    <w:p>
      <w:pPr>
        <w:pStyle w:val="Normal"/>
        <w:jc w:val="both"/>
        <w:rPr/>
      </w:pPr>
      <w:r>
        <w:rPr>
          <w:rFonts w:eastAsia="Arial" w:cs="Arial" w:ascii="Arial" w:hAnsi="Arial"/>
        </w:rPr>
        <w:t>This Firm Confirmation is being provided pursuant to and in accordance with the ATTACHED GENERAL TERMS &amp; CONDITIONS (the "</w:t>
      </w:r>
      <w:r>
        <w:rPr>
          <w:rFonts w:eastAsia="Arial" w:cs="Arial" w:ascii="Arial" w:hAnsi="Arial"/>
          <w:u w:val="single"/>
        </w:rPr>
        <w:t>Firm GTC</w:t>
      </w:r>
      <w:r>
        <w:rPr>
          <w:rFonts w:eastAsia="Arial" w:cs="Arial" w:ascii="Arial" w:hAnsi="Arial"/>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center"/>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HOUSTON PIPE LINE COMPANY</w:t>
        <w:tab/>
        <w:tab/>
        <w:t>OXY VINYLS L.P., a limited partnership</w:t>
      </w:r>
    </w:p>
    <w:p>
      <w:pPr>
        <w:pStyle w:val="Normal"/>
        <w:ind w:firstLine="720" w:start="3600" w:end="0"/>
        <w:rPr>
          <w:rFonts w:ascii="Arial" w:hAnsi="Arial" w:eastAsia="Arial" w:cs="Arial"/>
        </w:rPr>
      </w:pPr>
      <w:r>
        <w:rPr>
          <w:rFonts w:eastAsia="Arial" w:cs="Arial" w:ascii="Arial" w:hAnsi="Arial"/>
        </w:rPr>
        <w:t>By:  OCCIDENTAL CHEMICAL CORPORATION,</w:t>
      </w:r>
    </w:p>
    <w:p>
      <w:pPr>
        <w:pStyle w:val="Normal"/>
        <w:ind w:firstLine="720" w:start="3600" w:end="0"/>
        <w:rPr>
          <w:rFonts w:ascii="Arial" w:hAnsi="Arial" w:eastAsia="Arial" w:cs="Arial"/>
        </w:rPr>
      </w:pPr>
      <w:r>
        <w:rPr>
          <w:rFonts w:eastAsia="Arial" w:cs="Arial" w:ascii="Arial" w:hAnsi="Arial"/>
        </w:rPr>
        <w:t xml:space="preserve">        </w:t>
      </w:r>
      <w:r>
        <w:rPr>
          <w:rFonts w:eastAsia="Arial" w:cs="Arial" w:ascii="Arial" w:hAnsi="Arial"/>
        </w:rPr>
        <w:t>Its General Partner</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By: ____________________________</w:t>
        <w:tab/>
        <w:tab/>
        <w:t xml:space="preserve">        By: _______________________________</w:t>
      </w:r>
    </w:p>
    <w:p>
      <w:pPr>
        <w:pStyle w:val="Normal"/>
        <w:rPr>
          <w:rFonts w:ascii="Arial" w:hAnsi="Arial" w:eastAsia="Arial" w:cs="Arial"/>
        </w:rPr>
      </w:pPr>
      <w:r>
        <w:rPr>
          <w:rFonts w:eastAsia="Arial" w:cs="Arial" w:ascii="Arial" w:hAnsi="Arial"/>
        </w:rPr>
        <w:t>Name:</w:t>
        <w:tab/>
        <w:tab/>
        <w:tab/>
        <w:tab/>
        <w:tab/>
        <w:tab/>
        <w:t xml:space="preserve">        Name:</w:t>
      </w:r>
    </w:p>
    <w:p>
      <w:pPr>
        <w:pStyle w:val="Normal"/>
        <w:rPr>
          <w:rFonts w:ascii="Arial" w:hAnsi="Arial" w:eastAsia="Arial" w:cs="Arial"/>
        </w:rPr>
      </w:pPr>
      <w:r>
        <w:rPr>
          <w:rFonts w:eastAsia="Arial" w:cs="Arial" w:ascii="Arial" w:hAnsi="Arial"/>
        </w:rPr>
        <w:t>Title:</w:t>
        <w:tab/>
        <w:tab/>
        <w:tab/>
        <w:tab/>
        <w:tab/>
        <w:tab/>
        <w:t xml:space="preserve">        Title:</w:t>
      </w:r>
    </w:p>
    <w:p>
      <w:pPr>
        <w:pStyle w:val="Normal"/>
        <w:rPr>
          <w:rFonts w:ascii="Arial" w:hAnsi="Arial" w:eastAsia="Arial" w:cs="Arial"/>
        </w:rPr>
      </w:pPr>
      <w:r>
        <w:rPr>
          <w:rFonts w:eastAsia="Arial" w:cs="Arial" w:ascii="Arial" w:hAnsi="Arial"/>
        </w:rPr>
      </w:r>
    </w:p>
    <w:sectPr>
      <w:headerReference w:type="default" r:id="rId2"/>
      <w:headerReference w:type="first" r:id="rId3"/>
      <w:footerReference w:type="default" r:id="rId4"/>
      <w:footerReference w:type="first" r:id="rId5"/>
      <w:type w:val="nextPage"/>
      <w:pgSz w:w="12240" w:h="15840"/>
      <w:pgMar w:left="1440" w:right="1440" w:gutter="0" w:header="720" w:top="1440" w:footer="87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/mnt/main-storage/datasets/enron-docs/doc/2001_056crfm.doc</w:t>
    </w:r>
    <w:r>
      <w:rPr>
        <w:sz w:val="12"/>
        <w:szCs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/mnt/main-storage/datasets/enron-docs/doc/2001_056crfm.doc</w:t>
    </w:r>
    <w:r>
      <w:rPr>
        <w:sz w:val="12"/>
        <w:szCs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eastAsia="Arial Narrow" w:cs="Arial Narrow"/>
      </w:rPr>
    </w:pPr>
    <w:r>
      <w:rPr>
        <w:rFonts w:eastAsia="Arial Narrow" w:cs="Arial Narrow" w:ascii="Arial Narrow" w:hAnsi="Arial Narrow"/>
      </w:rPr>
      <w:t>Oxy Vinyls L.P.</w:t>
    </w:r>
  </w:p>
  <w:p>
    <w:pPr>
      <w:pStyle w:val="Header"/>
      <w:rPr>
        <w:rFonts w:ascii="Arial Narrow" w:hAnsi="Arial Narrow" w:eastAsia="Arial Narrow" w:cs="Arial Narrow"/>
      </w:rPr>
    </w:pPr>
    <w:r>
      <w:rPr>
        <w:rFonts w:eastAsia="Arial Narrow" w:cs="Arial Narrow" w:ascii="Arial Narrow" w:hAnsi="Arial Narrow"/>
      </w:rPr>
      <w:t>June 11, 2001</w:t>
    </w:r>
  </w:p>
  <w:p>
    <w:pPr>
      <w:pStyle w:val="Header"/>
      <w:rPr>
        <w:rFonts w:ascii="Arial Narrow" w:hAnsi="Arial Narrow" w:eastAsia="Arial Narrow" w:cs="Arial Narrow"/>
      </w:rPr>
    </w:pPr>
    <w:r>
      <w:rPr>
        <w:rFonts w:eastAsia="Arial Narrow" w:cs="Arial Narrow" w:ascii="Arial Narrow" w:hAnsi="Arial Narrow"/>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Fonts w:ascii="Arial Narrow" w:hAnsi="Arial Narrow" w:eastAsia="Arial Narrow" w:cs="Arial Narrow"/>
      </w:rPr>
    </w:pPr>
    <w:r>
      <w:rPr>
        <w:rFonts w:eastAsia="Arial Narrow" w:cs="Arial Narrow" w:ascii="Arial Narrow" w:hAnsi="Arial Narrow"/>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5040" w:leader="none"/>
        <w:tab w:val="left" w:pos="5400" w:leader="none"/>
      </w:tabs>
      <w:ind w:hanging="5760" w:start="6480" w:end="0"/>
      <w:jc w:val="both"/>
    </w:pPr>
    <w:rPr>
      <w:rFonts w:ascii="Arial" w:hAnsi="Arial" w:eastAsia="Arial" w:cs="Arial"/>
    </w:rPr>
  </w:style>
  <w:style w:type="paragraph" w:styleId="BodyTextIndent2">
    <w:name w:val="Body Text Indent 2"/>
    <w:basedOn w:val="Normal"/>
    <w:qFormat/>
    <w:pPr>
      <w:ind w:hanging="0" w:start="4320" w:end="0"/>
      <w:jc w:val="both"/>
    </w:pPr>
    <w:rPr>
      <w:rFonts w:ascii="Arial" w:hAnsi="Arial" w:eastAsia="Arial" w:cs="Arial"/>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2001-06-11T13:40:00Z</dcterms:created>
  <dc:creator>Daniel J. Hyvl</dc:creator>
  <dc:description/>
  <dc:language>en-CA</dc:language>
  <cp:lastModifiedBy>dhyvl</cp:lastModifiedBy>
  <cp:lastPrinted>2000-05-18T15:20:00Z</cp:lastPrinted>
  <dcterms:modified xsi:type="dcterms:W3CDTF">2001-06-11T13:48:00Z</dcterms:modified>
  <cp:revision>3</cp:revision>
  <dc:subject/>
  <dc:title>August 28, 1998</dc:title>
</cp:coreProperties>
</file>