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June 6, 2001</w:t>
      </w:r>
    </w:p>
    <w:p>
      <w:pPr>
        <w:pStyle w:val="Normal"/>
        <w:rPr>
          <w:sz w:val="24"/>
        </w:rPr>
      </w:pPr>
      <w:r>
        <w:rPr>
          <w:sz w:val="24"/>
        </w:rPr>
      </w:r>
    </w:p>
    <w:p>
      <w:pPr>
        <w:pStyle w:val="Normal"/>
        <w:rPr>
          <w:sz w:val="24"/>
        </w:rPr>
      </w:pPr>
      <w:r>
        <w:rPr>
          <w:sz w:val="24"/>
        </w:rPr>
        <w:t>Devon Energy Corporation</w:t>
      </w:r>
    </w:p>
    <w:p>
      <w:pPr>
        <w:pStyle w:val="Normal"/>
        <w:rPr>
          <w:sz w:val="24"/>
        </w:rPr>
      </w:pPr>
      <w:r>
        <w:rPr>
          <w:sz w:val="24"/>
        </w:rPr>
        <w:t>Mr. Don Mauldin</w:t>
      </w:r>
    </w:p>
    <w:p>
      <w:pPr>
        <w:pStyle w:val="Heading1"/>
        <w:ind w:hanging="0" w:start="0"/>
        <w:rPr/>
      </w:pPr>
      <w:r>
        <w:rPr/>
        <w:t>20 North Broadway, Suite 1500</w:t>
      </w:r>
    </w:p>
    <w:p>
      <w:pPr>
        <w:pStyle w:val="Normal"/>
        <w:rPr>
          <w:sz w:val="24"/>
        </w:rPr>
      </w:pPr>
      <w:r>
        <w:rPr>
          <w:sz w:val="24"/>
        </w:rPr>
        <w:t>Oklahoma City, Ok 73102-8260</w:t>
      </w:r>
    </w:p>
    <w:p>
      <w:pPr>
        <w:pStyle w:val="Normal"/>
        <w:rPr>
          <w:sz w:val="24"/>
        </w:rPr>
      </w:pPr>
      <w:r>
        <w:rPr>
          <w:sz w:val="24"/>
        </w:rPr>
      </w:r>
    </w:p>
    <w:p>
      <w:pPr>
        <w:pStyle w:val="Normal"/>
        <w:rPr>
          <w:sz w:val="24"/>
        </w:rPr>
      </w:pPr>
      <w:r>
        <w:rPr>
          <w:sz w:val="24"/>
        </w:rPr>
      </w:r>
    </w:p>
    <w:p>
      <w:pPr>
        <w:pStyle w:val="Normal"/>
        <w:rPr/>
      </w:pPr>
      <w:r>
        <w:rPr>
          <w:sz w:val="24"/>
        </w:rPr>
        <w:t xml:space="preserve">Re: </w:t>
      </w:r>
      <w:r>
        <w:rPr>
          <w:b/>
          <w:sz w:val="24"/>
        </w:rPr>
        <w:t>Devon Energy Production Company</w:t>
      </w:r>
    </w:p>
    <w:p>
      <w:pPr>
        <w:pStyle w:val="Normal"/>
        <w:rPr>
          <w:b/>
          <w:sz w:val="24"/>
        </w:rPr>
      </w:pPr>
      <w:r>
        <w:rPr>
          <w:b/>
          <w:sz w:val="24"/>
        </w:rPr>
        <w:t xml:space="preserve">      </w:t>
      </w:r>
      <w:r>
        <w:rPr>
          <w:b/>
          <w:sz w:val="24"/>
        </w:rPr>
        <w:t xml:space="preserve">Request for Bids </w:t>
      </w:r>
    </w:p>
    <w:p>
      <w:pPr>
        <w:pStyle w:val="Normal"/>
        <w:rPr>
          <w:b/>
          <w:sz w:val="24"/>
        </w:rPr>
      </w:pPr>
      <w:r>
        <w:rPr>
          <w:b/>
          <w:sz w:val="24"/>
        </w:rPr>
      </w:r>
    </w:p>
    <w:p>
      <w:pPr>
        <w:pStyle w:val="Normal"/>
        <w:rPr>
          <w:sz w:val="24"/>
        </w:rPr>
      </w:pPr>
      <w:r>
        <w:rPr>
          <w:sz w:val="24"/>
        </w:rPr>
        <w:t>Dear Don:</w:t>
      </w:r>
    </w:p>
    <w:p>
      <w:pPr>
        <w:pStyle w:val="Normal"/>
        <w:rPr>
          <w:sz w:val="24"/>
        </w:rPr>
      </w:pPr>
      <w:r>
        <w:rPr>
          <w:sz w:val="24"/>
        </w:rPr>
      </w:r>
    </w:p>
    <w:p>
      <w:pPr>
        <w:pStyle w:val="BodyText"/>
        <w:jc w:val="both"/>
        <w:rPr/>
      </w:pPr>
      <w:r>
        <w:rPr/>
        <w:t>Enclosed for your review and consideration is Enron North America Corp.’s (ENA) gas purchase proposal.</w:t>
      </w:r>
    </w:p>
    <w:p>
      <w:pPr>
        <w:pStyle w:val="BodyText"/>
        <w:rPr/>
      </w:pPr>
      <w:r>
        <w:rPr/>
      </w:r>
    </w:p>
    <w:p>
      <w:pPr>
        <w:pStyle w:val="BodyText"/>
        <w:jc w:val="both"/>
        <w:rPr/>
      </w:pPr>
      <w:r>
        <w:rPr/>
        <w:t>The enclosed proposal is structured with a Baseload price and an Excess price.  This structure helps to provide some flexibility for production changes during the term.  The Baseload price (see Exhibit A) will be for a quantity of 80% of the estimated daily volume set forth on Devon’s bid sheet to ENA dated May 14, 2001.  The remaining 20% shall be priced as Excess (see Exhibit A).  The price for any volumes delivered to ENA by Devon in excess of such estimated daily volume shall be mutually agreed to by ENA and Devon prior the the period of delivery.  In the event a mutually agreed price is not agreed to prior to the period of delivery, ENA shall have no obligation to purchase such escess volumes.  Under the Baseload price ENA shall pay Devon for the Baseload volumes delivered during any month the applicable first of the month Inside FERC Gas Market Report index price for the locations listed on Exhibit “A”, less any applicable gathering, transportation and fuel costs and any other costs imposed by third parties and actually incurred by ENA.  ENA shall pay Devon for the Excess volumes delivered on any day the applicable “Daily Mid-Point” price as published in Gas Daily for each day on which excess volumes flow less the applicable gathering, transportation and fuel costs and any other costs imposed by third parties and actually incurred by ENA.</w:t>
      </w:r>
    </w:p>
    <w:p>
      <w:pPr>
        <w:pStyle w:val="BodyText"/>
        <w:jc w:val="both"/>
        <w:rPr/>
      </w:pPr>
      <w:r>
        <w:rPr/>
      </w:r>
    </w:p>
    <w:p>
      <w:pPr>
        <w:pStyle w:val="BodyText"/>
        <w:jc w:val="both"/>
        <w:rPr/>
      </w:pPr>
      <w:r>
        <w:rPr/>
        <w:t>If on any day Devon fails to make available for delivery volumes at least equal to the Baseload quantity, and the failure was not excused by force majeure, a make-whole adjustment shall be calculated as follows:</w:t>
      </w:r>
    </w:p>
    <w:p>
      <w:pPr>
        <w:pStyle w:val="BodyText"/>
        <w:jc w:val="both"/>
        <w:rPr/>
      </w:pPr>
      <w:r>
        <w:rPr/>
      </w:r>
    </w:p>
    <w:p>
      <w:pPr>
        <w:pStyle w:val="BodyText"/>
        <w:numPr>
          <w:ilvl w:val="0"/>
          <w:numId w:val="2"/>
        </w:numPr>
        <w:tabs>
          <w:tab w:val="clear" w:pos="720"/>
          <w:tab w:val="left" w:pos="1080" w:leader="none"/>
        </w:tabs>
        <w:ind w:hanging="360" w:start="1080" w:end="0"/>
        <w:jc w:val="both"/>
        <w:rPr/>
      </w:pPr>
      <w:r>
        <w:rPr/>
        <w:t>If the Excess volume price applicable to deliveries at the particular pricing location on that day is higher than the Baseload price applicable to the price location, Devon shall pay ENA an amount calculated by multiplying (I) the baseload volume deficiency by (ii) the difference between the Excess volume price and the baseload price.</w:t>
      </w:r>
    </w:p>
    <w:p>
      <w:pPr>
        <w:pStyle w:val="BodyText"/>
        <w:jc w:val="both"/>
        <w:rPr/>
      </w:pPr>
      <w:r>
        <w:rPr/>
      </w:r>
    </w:p>
    <w:p>
      <w:pPr>
        <w:pStyle w:val="BodyText"/>
        <w:numPr>
          <w:ilvl w:val="0"/>
          <w:numId w:val="4"/>
        </w:numPr>
        <w:tabs>
          <w:tab w:val="clear" w:pos="720"/>
          <w:tab w:val="left" w:pos="1080" w:leader="none"/>
        </w:tabs>
        <w:ind w:hanging="360" w:start="1080" w:end="0"/>
        <w:jc w:val="both"/>
        <w:rPr/>
      </w:pPr>
      <w:r>
        <w:rPr/>
        <w:t>If the Baseload price applicable to the price location on that day is higher than the Excess volume price applicable to the price location on that day, ENA shall pay Devon an amount calculated by multiplying the Baseload volume deficiency by (ii) the difference between the Baseload price and the Excess volume price.</w:t>
      </w:r>
    </w:p>
    <w:p>
      <w:pPr>
        <w:pStyle w:val="BodyText"/>
        <w:rPr/>
      </w:pPr>
      <w:r>
        <w:rPr/>
      </w:r>
    </w:p>
    <w:p>
      <w:pPr>
        <w:pStyle w:val="BodyText"/>
        <w:jc w:val="both"/>
        <w:rPr/>
      </w:pPr>
      <w:r>
        <w:rPr/>
        <w:t xml:space="preserve"> </w:t>
      </w:r>
      <w:r>
        <w:rPr/>
        <w:t>In addition to the pricing mentioned above, Devon Energy Corporation will also have the following options to price its natural gas supply each month during the term (Alternative Pricing).  For any volume which Devon desires to price using the below pricing options, such gas would be deemed firm, with penalty language for non-performance.</w:t>
      </w:r>
    </w:p>
    <w:p>
      <w:pPr>
        <w:pStyle w:val="BodyText"/>
        <w:rPr/>
      </w:pPr>
      <w:r>
        <w:rPr/>
      </w:r>
    </w:p>
    <w:p>
      <w:pPr>
        <w:pStyle w:val="BodyText"/>
        <w:jc w:val="center"/>
        <w:rPr>
          <w:b/>
        </w:rPr>
      </w:pPr>
      <w:r>
        <w:rPr>
          <w:b/>
        </w:rPr>
        <w:t>Alternative Pricing</w:t>
      </w:r>
    </w:p>
    <w:p>
      <w:pPr>
        <w:pStyle w:val="BodyText"/>
        <w:rPr/>
      </w:pPr>
      <w:r>
        <w:rPr/>
        <w:tab/>
      </w:r>
    </w:p>
    <w:p>
      <w:pPr>
        <w:pStyle w:val="BodyText"/>
        <w:numPr>
          <w:ilvl w:val="0"/>
          <w:numId w:val="3"/>
        </w:numPr>
        <w:tabs>
          <w:tab w:val="clear" w:pos="720"/>
          <w:tab w:val="left" w:pos="1080" w:leader="none"/>
        </w:tabs>
        <w:ind w:hanging="360" w:start="1080" w:end="0"/>
        <w:rPr/>
      </w:pPr>
      <w:r>
        <w:rPr>
          <w:u w:val="single"/>
        </w:rPr>
        <w:t>Price Locking Option</w:t>
      </w:r>
      <w:r>
        <w:rPr/>
        <w:t xml:space="preserve">:  Devon would have the option, at any time, to lock the price on a portion or all of the nominated quantity based on the currently traded “screen” and a mutually agreed basis adjustment up to noon on the last day of settlement of the NYMEX contract for the prompt month.  Such lock could be for a period of not less than one(1) month nor greater than the term of the contract.  </w:t>
      </w:r>
    </w:p>
    <w:p>
      <w:pPr>
        <w:pStyle w:val="BodyText"/>
        <w:numPr>
          <w:ilvl w:val="0"/>
          <w:numId w:val="3"/>
        </w:numPr>
        <w:tabs>
          <w:tab w:val="clear" w:pos="720"/>
          <w:tab w:val="left" w:pos="1080" w:leader="none"/>
        </w:tabs>
        <w:ind w:hanging="360" w:start="1080" w:end="0"/>
        <w:rPr/>
      </w:pPr>
      <w:r>
        <w:rPr>
          <w:u w:val="single"/>
        </w:rPr>
        <w:t>Price Protecting Option</w:t>
      </w:r>
      <w:r>
        <w:rPr/>
        <w:t xml:space="preserve">:  Under this pricing option, Devon could request the establishment of a ceiling price, a floor price or both, for future months for any volume of gas not greater than the full nominated quantity for the period(s) in question.  </w:t>
      </w:r>
    </w:p>
    <w:p>
      <w:pPr>
        <w:pStyle w:val="BodyText"/>
        <w:rPr/>
      </w:pPr>
      <w:r>
        <w:rPr/>
      </w:r>
    </w:p>
    <w:p>
      <w:pPr>
        <w:pStyle w:val="Normal"/>
        <w:jc w:val="both"/>
        <w:rPr/>
      </w:pPr>
      <w:r>
        <w:rPr>
          <w:sz w:val="24"/>
        </w:rPr>
        <w:t>Devon would be required to provide ENA first of the month nominations at least seven (7) days prior to the applicable pipeline nomination deadline for the first of each month, and</w:t>
      </w:r>
      <w:r>
        <w:rPr/>
        <w:t xml:space="preserve"> </w:t>
      </w:r>
      <w:r>
        <w:rPr>
          <w:sz w:val="24"/>
        </w:rPr>
        <w:t>at least twenty-four (24) hours prior to the applicable pipeline nomination deadline for other than first-of-the-month deliveries.  The estimate for first-of-the-month deliveries shall specify the daily baseload quantities to be sold and delivered during the month and to the volumes in excess of the daily baseload quantities available for sale, shall separately estimate such excess volumes.  Each party shall promptly notify the other of any changes in the information provided to the other as well as any event reasonably calculated to change the information previously provided.  Either party notified of any such change shall be obligated to take all reasonable action consistent with applicable pipeline tariffs to avoid or minimize the imposition of imbalance, cash-out and similar penalties.  ENA would be responsible for all imbalance penalties and cash-out cost imposed by the transporting pipeline(s), except such changes that may be incurred as a result of Devon’s failure to provide timely and accurate nominations and nomination changes to ENA.</w:t>
      </w:r>
    </w:p>
    <w:p>
      <w:pPr>
        <w:pStyle w:val="Normal"/>
        <w:jc w:val="both"/>
        <w:rPr>
          <w:sz w:val="24"/>
        </w:rPr>
      </w:pPr>
      <w:r>
        <w:rPr>
          <w:sz w:val="24"/>
        </w:rPr>
      </w:r>
    </w:p>
    <w:p>
      <w:pPr>
        <w:pStyle w:val="Normal"/>
        <w:jc w:val="both"/>
        <w:rPr>
          <w:sz w:val="24"/>
        </w:rPr>
      </w:pPr>
      <w:r>
        <w:rPr>
          <w:sz w:val="24"/>
        </w:rPr>
        <w:t>Enron appreciates the opportunity to provide Devon Energy Corporation with this gas purchase proposal.  _________________________________________  If you have any questions or require additional information please contact me at 713-853-3061.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Nelson Ferries</w:t>
      </w:r>
    </w:p>
    <w:p>
      <w:pPr>
        <w:pStyle w:val="Normal"/>
        <w:jc w:val="both"/>
        <w:rPr>
          <w:sz w:val="24"/>
        </w:rPr>
      </w:pPr>
      <w:r>
        <w:rPr>
          <w:sz w:val="24"/>
        </w:rPr>
        <w:t>Director</w:t>
      </w:r>
    </w:p>
    <w:p>
      <w:pPr>
        <w:pStyle w:val="Normal"/>
        <w:jc w:val="both"/>
        <w:rPr>
          <w:sz w:val="24"/>
        </w:rPr>
      </w:pPr>
      <w:r>
        <w:rPr>
          <w:sz w:val="24"/>
        </w:rPr>
      </w:r>
    </w:p>
    <w:p>
      <w:pPr>
        <w:pStyle w:val="Normal"/>
        <w:jc w:val="both"/>
        <w:rPr>
          <w:sz w:val="24"/>
        </w:rPr>
      </w:pPr>
      <w:r>
        <w:rPr>
          <w:sz w:val="24"/>
        </w:rPr>
        <w:t>enclosure</w:t>
      </w:r>
    </w:p>
    <w:p>
      <w:pPr>
        <w:pStyle w:val="BodyText"/>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2001-06-06T12:36:00Z</dcterms:created>
  <dc:creator>nferries</dc:creator>
  <dc:description/>
  <dc:language>en-CA</dc:language>
  <cp:lastModifiedBy>dhyvl</cp:lastModifiedBy>
  <cp:lastPrinted>2001-06-06T09:18:00Z</cp:lastPrinted>
  <dcterms:modified xsi:type="dcterms:W3CDTF">2001-06-06T12:36:00Z</dcterms:modified>
  <cp:revision>2</cp:revision>
  <dc:subject/>
  <dc:title>October 4, 2000</dc:title>
</cp:coreProperties>
</file>