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sz w:val="20"/>
        </w:rPr>
      </w:pPr>
      <w:r>
        <w:rPr>
          <w:sz w:val="20"/>
        </w:rPr>
        <w:t>June 4, 2001</w:t>
      </w:r>
    </w:p>
    <w:p>
      <w:pPr>
        <w:pStyle w:val="Normal"/>
        <w:rPr>
          <w:sz w:val="20"/>
        </w:rPr>
      </w:pPr>
      <w:r>
        <w:rPr>
          <w:sz w:val="20"/>
        </w:rPr>
      </w:r>
    </w:p>
    <w:p>
      <w:pPr>
        <w:pStyle w:val="Normal"/>
        <w:rPr>
          <w:sz w:val="20"/>
        </w:rPr>
      </w:pPr>
      <w:r>
        <w:rPr>
          <w:sz w:val="20"/>
        </w:rPr>
      </w:r>
    </w:p>
    <w:p>
      <w:pPr>
        <w:pStyle w:val="Normal"/>
        <w:rPr>
          <w:sz w:val="20"/>
        </w:rPr>
      </w:pPr>
      <w:r>
        <w:rPr>
          <w:sz w:val="20"/>
        </w:rPr>
        <w:t>Roche Vitamins, Inc.</w:t>
      </w:r>
    </w:p>
    <w:p>
      <w:pPr>
        <w:pStyle w:val="Normal"/>
        <w:rPr>
          <w:sz w:val="20"/>
        </w:rPr>
      </w:pPr>
      <w:r>
        <w:rPr>
          <w:sz w:val="20"/>
        </w:rPr>
        <w:t>1000 County Road 227</w:t>
      </w:r>
    </w:p>
    <w:p>
      <w:pPr>
        <w:pStyle w:val="Normal"/>
        <w:rPr>
          <w:sz w:val="20"/>
        </w:rPr>
      </w:pPr>
      <w:r>
        <w:rPr>
          <w:sz w:val="20"/>
        </w:rPr>
        <w:t>Freeport, Texas  77541</w:t>
      </w:r>
    </w:p>
    <w:p>
      <w:pPr>
        <w:pStyle w:val="Normal"/>
        <w:rPr>
          <w:sz w:val="20"/>
        </w:rPr>
      </w:pPr>
      <w:r>
        <w:rPr>
          <w:sz w:val="20"/>
        </w:rPr>
      </w:r>
    </w:p>
    <w:p>
      <w:pPr>
        <w:pStyle w:val="Normal"/>
        <w:rPr>
          <w:sz w:val="20"/>
        </w:rPr>
      </w:pPr>
      <w:r>
        <w:rPr>
          <w:sz w:val="20"/>
        </w:rPr>
      </w:r>
    </w:p>
    <w:p>
      <w:pPr>
        <w:pStyle w:val="BodyText2"/>
        <w:rPr/>
      </w:pPr>
      <w:r>
        <w:rPr/>
        <w:t>ENFOLIO® FIRM CONFIRMATION -- ENFOLIO® FIRM GENERAL TERMS &amp; CONDITIONS GOVERN</w:t>
      </w:r>
    </w:p>
    <w:p>
      <w:pPr>
        <w:pStyle w:val="Normal"/>
        <w:rPr>
          <w:sz w:val="20"/>
        </w:rPr>
      </w:pPr>
      <w:r>
        <w:rPr>
          <w:sz w:val="20"/>
        </w:rPr>
      </w:r>
    </w:p>
    <w:p>
      <w:pPr>
        <w:pStyle w:val="Normal"/>
        <w:jc w:val="both"/>
        <w:rPr/>
      </w:pPr>
      <w:r>
        <w:rPr>
          <w:sz w:val="20"/>
        </w:rPr>
        <w:t xml:space="preserve">This Confirmation Agreement shall form and effectuate the Agreement between </w:t>
      </w:r>
      <w:r>
        <w:rPr>
          <w:b/>
          <w:sz w:val="20"/>
        </w:rPr>
        <w:t xml:space="preserve">Roche Vitamins, Inc. </w:t>
      </w:r>
      <w:r>
        <w:rPr>
          <w:sz w:val="20"/>
        </w:rPr>
        <w:t>(“</w:t>
      </w:r>
      <w:r>
        <w:rPr>
          <w:sz w:val="20"/>
          <w:u w:val="single"/>
        </w:rPr>
        <w:t>Customer</w:t>
      </w:r>
      <w:r>
        <w:rPr>
          <w:sz w:val="20"/>
        </w:rPr>
        <w:t>” or “</w:t>
      </w:r>
      <w:r>
        <w:rPr>
          <w:sz w:val="20"/>
          <w:u w:val="single"/>
        </w:rPr>
        <w:t>Buyer</w:t>
      </w:r>
      <w:r>
        <w:rPr>
          <w:sz w:val="20"/>
        </w:rPr>
        <w:t xml:space="preserve">”) and </w:t>
      </w:r>
      <w:r>
        <w:rPr>
          <w:b/>
          <w:sz w:val="20"/>
        </w:rPr>
        <w:t xml:space="preserve">Houston Pipe Line Company </w:t>
      </w:r>
      <w:r>
        <w:rPr>
          <w:sz w:val="20"/>
        </w:rPr>
        <w:t>(“</w:t>
      </w:r>
      <w:r>
        <w:rPr>
          <w:sz w:val="20"/>
          <w:u w:val="single"/>
        </w:rPr>
        <w:t>Company</w:t>
      </w:r>
      <w:r>
        <w:rPr>
          <w:sz w:val="20"/>
        </w:rPr>
        <w:t>” or “</w:t>
      </w:r>
      <w:r>
        <w:rPr>
          <w:sz w:val="20"/>
          <w:u w:val="single"/>
        </w:rPr>
        <w:t>Seller</w:t>
      </w:r>
      <w:r>
        <w:rPr>
          <w:sz w:val="20"/>
        </w:rPr>
        <w:t>”) regarding the firm purchase and sale of Gas transaction under the following terms and conditions.  Customer to purchase and receive and Company to sell and deliver.</w:t>
      </w:r>
    </w:p>
    <w:p>
      <w:pPr>
        <w:pStyle w:val="Normal"/>
        <w:jc w:val="both"/>
        <w:rPr>
          <w:sz w:val="20"/>
        </w:rPr>
      </w:pPr>
      <w:r>
        <w:rPr>
          <w:sz w:val="20"/>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sz w:val="20"/>
              </w:rPr>
            </w:pPr>
            <w:r>
              <w:rPr>
                <w:b/>
                <w:sz w:val="20"/>
              </w:rPr>
              <w:t>DAILY CONTRACT QUANTITY (“DCQ”):</w:t>
            </w:r>
          </w:p>
        </w:tc>
        <w:tc>
          <w:tcPr>
            <w:tcW w:w="6570" w:type="dxa"/>
            <w:tcBorders/>
          </w:tcPr>
          <w:p>
            <w:pPr>
              <w:pStyle w:val="BlockText"/>
              <w:snapToGrid w:val="false"/>
              <w:ind w:end="144"/>
              <w:rPr>
                <w:b/>
                <w:sz w:val="20"/>
              </w:rPr>
            </w:pPr>
            <w:r>
              <w:rPr>
                <w:b/>
                <w:sz w:val="20"/>
              </w:rPr>
            </w:r>
          </w:p>
          <w:p>
            <w:pPr>
              <w:pStyle w:val="Normal"/>
              <w:ind w:start="-108" w:end="162"/>
              <w:jc w:val="both"/>
              <w:rPr>
                <w:sz w:val="20"/>
              </w:rPr>
            </w:pPr>
            <w:r>
              <w:rPr/>
              <w:t>400 MMBtu per day</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144"/>
              <w:rPr>
                <w:sz w:val="20"/>
              </w:rPr>
            </w:pPr>
            <w:r>
              <w:rPr>
                <w:sz w:val="20"/>
              </w:rPr>
            </w:r>
          </w:p>
        </w:tc>
      </w:tr>
      <w:tr>
        <w:trPr/>
        <w:tc>
          <w:tcPr>
            <w:tcW w:w="3168" w:type="dxa"/>
            <w:tcBorders/>
          </w:tcPr>
          <w:p>
            <w:pPr>
              <w:pStyle w:val="Normal"/>
              <w:rPr>
                <w:sz w:val="20"/>
              </w:rPr>
            </w:pPr>
            <w:r>
              <w:rPr>
                <w:b/>
                <w:sz w:val="20"/>
              </w:rPr>
              <w:t>DELIVERY POINTS:</w:t>
            </w:r>
          </w:p>
        </w:tc>
        <w:tc>
          <w:tcPr>
            <w:tcW w:w="6552" w:type="dxa"/>
            <w:tcBorders/>
          </w:tcPr>
          <w:p>
            <w:pPr>
              <w:pStyle w:val="Normal"/>
              <w:ind w:start="-108" w:end="144"/>
              <w:jc w:val="both"/>
              <w:rPr>
                <w:sz w:val="20"/>
              </w:rPr>
            </w:pPr>
            <w:r>
              <w:rPr>
                <w:sz w:val="20"/>
              </w:rPr>
              <w:t>Company’s meter #_______ located on Customer’s premises in Brazoria County, Texas.</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144"/>
              <w:rPr>
                <w:sz w:val="20"/>
              </w:rPr>
            </w:pPr>
            <w:r>
              <w:rPr>
                <w:sz w:val="20"/>
              </w:rPr>
            </w:r>
          </w:p>
        </w:tc>
      </w:tr>
      <w:tr>
        <w:trPr>
          <w:trHeight w:val="630" w:hRule="atLeast"/>
        </w:trPr>
        <w:tc>
          <w:tcPr>
            <w:tcW w:w="3168" w:type="dxa"/>
            <w:tcBorders/>
          </w:tcPr>
          <w:p>
            <w:pPr>
              <w:pStyle w:val="Normal"/>
              <w:rPr>
                <w:b/>
                <w:sz w:val="20"/>
              </w:rPr>
            </w:pPr>
            <w:r>
              <w:rPr>
                <w:b/>
                <w:sz w:val="20"/>
              </w:rPr>
              <w:t>CONTRACT PRICE:</w:t>
            </w:r>
          </w:p>
        </w:tc>
        <w:tc>
          <w:tcPr>
            <w:tcW w:w="6552" w:type="dxa"/>
            <w:tcBorders/>
          </w:tcPr>
          <w:p>
            <w:pPr>
              <w:pStyle w:val="Normal"/>
              <w:ind w:start="-108" w:end="144"/>
              <w:jc w:val="both"/>
              <w:rPr>
                <w:sz w:val="20"/>
              </w:rPr>
            </w:pPr>
            <w:r>
              <w:rPr>
                <w:sz w:val="20"/>
              </w:rPr>
              <w:t>$______ per MMBtu to be paid by Customer for gas service pursuant to this confirmation each month for the DCQ.</w:t>
            </w:r>
          </w:p>
          <w:p>
            <w:pPr>
              <w:pStyle w:val="Normal"/>
              <w:ind w:start="-115" w:end="144"/>
              <w:jc w:val="both"/>
              <w:rPr>
                <w:sz w:val="20"/>
              </w:rPr>
            </w:pPr>
            <w:r>
              <w:rPr>
                <w:sz w:val="20"/>
              </w:rPr>
            </w:r>
          </w:p>
        </w:tc>
      </w:tr>
      <w:tr>
        <w:trPr/>
        <w:tc>
          <w:tcPr>
            <w:tcW w:w="3168" w:type="dxa"/>
            <w:tcBorders/>
          </w:tcPr>
          <w:p>
            <w:pPr>
              <w:pStyle w:val="Normal"/>
              <w:rPr>
                <w:b/>
                <w:sz w:val="20"/>
              </w:rPr>
            </w:pPr>
            <w:r>
              <w:rPr>
                <w:b/>
                <w:sz w:val="20"/>
              </w:rPr>
              <w:t>PERIOD OF DELIVERY:</w:t>
            </w:r>
          </w:p>
        </w:tc>
        <w:tc>
          <w:tcPr>
            <w:tcW w:w="6552" w:type="dxa"/>
            <w:tcBorders/>
          </w:tcPr>
          <w:p>
            <w:pPr>
              <w:pStyle w:val="Normal"/>
              <w:ind w:start="-108" w:end="0"/>
              <w:jc w:val="both"/>
              <w:rPr>
                <w:sz w:val="20"/>
              </w:rPr>
            </w:pPr>
            <w:r>
              <w:rPr>
                <w:sz w:val="20"/>
              </w:rPr>
              <w:t>June 1, 2001 through February 28, 2002.</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0"/>
              <w:rPr>
                <w:sz w:val="20"/>
              </w:rPr>
            </w:pPr>
            <w:r>
              <w:rPr>
                <w:sz w:val="20"/>
              </w:rPr>
            </w:r>
          </w:p>
        </w:tc>
      </w:tr>
      <w:tr>
        <w:trPr/>
        <w:tc>
          <w:tcPr>
            <w:tcW w:w="3168" w:type="dxa"/>
            <w:tcBorders/>
          </w:tcPr>
          <w:p>
            <w:pPr>
              <w:pStyle w:val="Normal"/>
              <w:jc w:val="both"/>
              <w:rPr>
                <w:sz w:val="20"/>
              </w:rPr>
            </w:pPr>
            <w:r>
              <w:rPr>
                <w:b/>
                <w:sz w:val="20"/>
              </w:rPr>
              <w:t>SPOT PRICE LOCATION:</w:t>
            </w:r>
          </w:p>
        </w:tc>
        <w:tc>
          <w:tcPr>
            <w:tcW w:w="6552" w:type="dxa"/>
            <w:tcBorders/>
          </w:tcPr>
          <w:p>
            <w:pPr>
              <w:pStyle w:val="Normal"/>
              <w:ind w:start="-90" w:end="0"/>
              <w:jc w:val="both"/>
              <w:rPr>
                <w:sz w:val="20"/>
              </w:rPr>
            </w:pPr>
            <w:r>
              <w:rPr>
                <w:sz w:val="20"/>
              </w:rPr>
              <w:t>East-Houston-Katy, Houston Ship Channel</w:t>
            </w:r>
          </w:p>
        </w:tc>
      </w:tr>
      <w:tr>
        <w:trPr/>
        <w:tc>
          <w:tcPr>
            <w:tcW w:w="3168" w:type="dxa"/>
            <w:tcBorders/>
          </w:tcPr>
          <w:p>
            <w:pPr>
              <w:pStyle w:val="Normal"/>
              <w:snapToGrid w:val="false"/>
              <w:rPr>
                <w:sz w:val="20"/>
              </w:rPr>
            </w:pPr>
            <w:r>
              <w:rPr>
                <w:sz w:val="20"/>
              </w:rPr>
            </w:r>
          </w:p>
        </w:tc>
        <w:tc>
          <w:tcPr>
            <w:tcW w:w="6552" w:type="dxa"/>
            <w:tcBorders/>
          </w:tcPr>
          <w:p>
            <w:pPr>
              <w:pStyle w:val="Normal"/>
              <w:snapToGrid w:val="false"/>
              <w:ind w:start="-108" w:end="0"/>
              <w:jc w:val="both"/>
              <w:rPr>
                <w:sz w:val="20"/>
              </w:rPr>
            </w:pPr>
            <w:r>
              <w:rPr>
                <w:sz w:val="20"/>
              </w:rPr>
            </w:r>
          </w:p>
        </w:tc>
      </w:tr>
      <w:tr>
        <w:trPr/>
        <w:tc>
          <w:tcPr>
            <w:tcW w:w="3168" w:type="dxa"/>
            <w:tcBorders/>
          </w:tcPr>
          <w:p>
            <w:pPr>
              <w:pStyle w:val="Normal"/>
              <w:rPr>
                <w:b/>
                <w:sz w:val="20"/>
              </w:rPr>
            </w:pPr>
            <w:r>
              <w:rPr>
                <w:b/>
                <w:sz w:val="20"/>
              </w:rPr>
              <w:t>OTHER:</w:t>
            </w:r>
          </w:p>
        </w:tc>
        <w:tc>
          <w:tcPr>
            <w:tcW w:w="6552" w:type="dxa"/>
            <w:tcBorders/>
          </w:tcPr>
          <w:p>
            <w:pPr>
              <w:pStyle w:val="Normal"/>
              <w:ind w:start="-108" w:end="0"/>
              <w:jc w:val="both"/>
              <w:rPr>
                <w:bCs/>
                <w:sz w:val="20"/>
              </w:rPr>
            </w:pPr>
            <w:r>
              <w:rPr>
                <w:bCs/>
                <w:sz w:val="20"/>
              </w:rPr>
              <w:t>Reference is heremade to that certain Gas Sales Contract dated as of February 17, 1993, as amended, by and between Company (successor in interest to HPL Resources Company) and Customer.  Seller hereby agrees that during the Period of Delivery under this Confirmation, the DCQ to be delivered to Customer pursuant hereto shall be deemed the first gas to be delivered to Customer each day and shall be delivered prior to any volumes being delivered pursuant to the Gas Sales Contract dated February 17, 1993.</w:t>
            </w:r>
          </w:p>
          <w:p>
            <w:pPr>
              <w:pStyle w:val="Normal"/>
              <w:ind w:start="-108" w:end="0"/>
              <w:jc w:val="both"/>
              <w:rPr>
                <w:b/>
                <w:bCs/>
                <w:sz w:val="20"/>
              </w:rPr>
            </w:pPr>
            <w:r>
              <w:rPr>
                <w:b/>
                <w:bCs/>
                <w:sz w:val="20"/>
              </w:rPr>
            </w:r>
          </w:p>
          <w:p>
            <w:pPr>
              <w:pStyle w:val="Normal"/>
              <w:ind w:start="-108" w:end="0"/>
              <w:jc w:val="both"/>
              <w:rPr>
                <w:b/>
                <w:sz w:val="20"/>
              </w:rPr>
            </w:pPr>
            <w:r>
              <w:rPr>
                <w:b/>
                <w:sz w:val="20"/>
              </w:rPr>
              <w:t>NOTICE AND COMMUNICATION TO COMPANY, AS FOLLOWS:</w:t>
            </w:r>
          </w:p>
          <w:p>
            <w:pPr>
              <w:pStyle w:val="Normal"/>
              <w:ind w:start="-108" w:end="0"/>
              <w:jc w:val="both"/>
              <w:rPr>
                <w:b/>
                <w:sz w:val="20"/>
              </w:rPr>
            </w:pPr>
            <w:r>
              <w:rPr>
                <w:b/>
                <w:sz w:val="20"/>
              </w:rPr>
              <w:t>NOTICE/CORRESPONDENCE:</w:t>
            </w:r>
          </w:p>
          <w:p>
            <w:pPr>
              <w:pStyle w:val="Normal"/>
              <w:ind w:start="-108" w:end="0"/>
              <w:jc w:val="both"/>
              <w:rPr>
                <w:sz w:val="20"/>
              </w:rPr>
            </w:pPr>
            <w:r>
              <w:rPr>
                <w:sz w:val="20"/>
              </w:rPr>
              <w:t>P. O. Box 4428</w:t>
            </w:r>
          </w:p>
          <w:p>
            <w:pPr>
              <w:pStyle w:val="Normal"/>
              <w:ind w:start="-108" w:end="0"/>
              <w:jc w:val="both"/>
              <w:rPr>
                <w:sz w:val="20"/>
              </w:rPr>
            </w:pPr>
            <w:r>
              <w:rPr>
                <w:sz w:val="20"/>
              </w:rPr>
              <w:t>Houston, Texas 77210-4428</w:t>
            </w:r>
          </w:p>
          <w:p>
            <w:pPr>
              <w:pStyle w:val="Normal"/>
              <w:ind w:start="-108" w:end="0"/>
              <w:jc w:val="both"/>
              <w:rPr>
                <w:sz w:val="20"/>
              </w:rPr>
            </w:pPr>
            <w:r>
              <w:rPr>
                <w:sz w:val="20"/>
              </w:rPr>
              <w:t>Attn:  Documentation and Deal Clearing</w:t>
            </w:r>
          </w:p>
          <w:p>
            <w:pPr>
              <w:pStyle w:val="Normal"/>
              <w:ind w:start="-108" w:end="0"/>
              <w:jc w:val="both"/>
              <w:rPr>
                <w:sz w:val="20"/>
              </w:rPr>
            </w:pPr>
            <w:r>
              <w:rPr>
                <w:sz w:val="20"/>
              </w:rPr>
              <w:t>Facsimile No. (713) 646-4816</w:t>
            </w:r>
          </w:p>
          <w:p>
            <w:pPr>
              <w:pStyle w:val="Normal"/>
              <w:ind w:start="-108" w:end="0"/>
              <w:jc w:val="both"/>
              <w:rPr>
                <w:sz w:val="20"/>
              </w:rPr>
            </w:pPr>
            <w:r>
              <w:rPr>
                <w:sz w:val="20"/>
              </w:rPr>
              <w:t>Termination Notice Facsimile No. (713) 646-4818</w:t>
            </w:r>
          </w:p>
          <w:p>
            <w:pPr>
              <w:pStyle w:val="Normal"/>
              <w:ind w:start="-108" w:end="0"/>
              <w:jc w:val="both"/>
              <w:rPr>
                <w:sz w:val="20"/>
              </w:rPr>
            </w:pPr>
            <w:r>
              <w:rPr>
                <w:b/>
                <w:sz w:val="20"/>
              </w:rPr>
              <w:t>INVOICES:</w:t>
            </w:r>
          </w:p>
          <w:p>
            <w:pPr>
              <w:pStyle w:val="Normal"/>
              <w:ind w:start="-108" w:end="0"/>
              <w:jc w:val="both"/>
              <w:rPr>
                <w:sz w:val="20"/>
              </w:rPr>
            </w:pPr>
            <w:r>
              <w:rPr>
                <w:sz w:val="20"/>
              </w:rPr>
              <w:t>P. O. Box 4428</w:t>
            </w:r>
          </w:p>
          <w:p>
            <w:pPr>
              <w:pStyle w:val="Normal"/>
              <w:ind w:start="-108" w:end="0"/>
              <w:jc w:val="both"/>
              <w:rPr>
                <w:sz w:val="20"/>
              </w:rPr>
            </w:pPr>
            <w:r>
              <w:rPr>
                <w:sz w:val="20"/>
              </w:rPr>
              <w:t>Houston, Texas 77210-4428</w:t>
            </w:r>
          </w:p>
          <w:p>
            <w:pPr>
              <w:pStyle w:val="Normal"/>
              <w:ind w:start="-108" w:end="0"/>
              <w:jc w:val="both"/>
              <w:rPr>
                <w:sz w:val="20"/>
              </w:rPr>
            </w:pPr>
            <w:r>
              <w:rPr>
                <w:sz w:val="20"/>
              </w:rPr>
              <w:t>Attn:  Client Services</w:t>
            </w:r>
          </w:p>
          <w:p>
            <w:pPr>
              <w:pStyle w:val="Normal"/>
              <w:ind w:start="-108" w:end="0"/>
              <w:jc w:val="both"/>
              <w:rPr>
                <w:sz w:val="20"/>
              </w:rPr>
            </w:pPr>
            <w:r>
              <w:rPr>
                <w:sz w:val="20"/>
              </w:rPr>
              <w:t>Facsimile No. (713) 646-8420</w:t>
            </w:r>
          </w:p>
          <w:p>
            <w:pPr>
              <w:pStyle w:val="Normal"/>
              <w:ind w:start="-108" w:end="0"/>
              <w:jc w:val="both"/>
              <w:rPr>
                <w:sz w:val="20"/>
              </w:rPr>
            </w:pPr>
            <w:r>
              <w:rPr>
                <w:b/>
                <w:sz w:val="20"/>
              </w:rPr>
              <w:t>PAYMENTS:</w:t>
            </w:r>
          </w:p>
          <w:p>
            <w:pPr>
              <w:pStyle w:val="Normal"/>
              <w:ind w:start="-108" w:end="0"/>
              <w:jc w:val="both"/>
              <w:rPr>
                <w:sz w:val="20"/>
              </w:rPr>
            </w:pPr>
            <w:r>
              <w:rPr>
                <w:sz w:val="20"/>
              </w:rPr>
              <w:t>Houston Pipe Line Company.</w:t>
            </w:r>
          </w:p>
          <w:p>
            <w:pPr>
              <w:pStyle w:val="Normal"/>
              <w:ind w:start="-108" w:end="0"/>
              <w:jc w:val="both"/>
              <w:rPr>
                <w:sz w:val="20"/>
              </w:rPr>
            </w:pPr>
            <w:r>
              <w:rPr>
                <w:sz w:val="20"/>
              </w:rPr>
              <w:t>ABA Routing 111000012 Bank of America Account 3750494141</w:t>
            </w:r>
          </w:p>
          <w:p>
            <w:pPr>
              <w:pStyle w:val="Normal"/>
              <w:ind w:start="-108" w:end="0"/>
              <w:jc w:val="both"/>
              <w:rPr>
                <w:b/>
                <w:sz w:val="20"/>
              </w:rPr>
            </w:pPr>
            <w:r>
              <w:rPr>
                <w:b/>
                <w:sz w:val="20"/>
              </w:rPr>
              <w:t>NOMINATIONS TO COMPANY:</w:t>
            </w:r>
          </w:p>
          <w:p>
            <w:pPr>
              <w:pStyle w:val="Normal"/>
              <w:ind w:start="-108" w:end="0"/>
              <w:jc w:val="both"/>
              <w:rPr>
                <w:sz w:val="20"/>
              </w:rPr>
            </w:pPr>
            <w:r>
              <w:rPr>
                <w:sz w:val="20"/>
              </w:rPr>
              <w:t>1(800)356-9427/1(800)FLOWGAS</w:t>
            </w:r>
          </w:p>
          <w:p>
            <w:pPr>
              <w:pStyle w:val="Normal"/>
              <w:ind w:start="-108" w:end="0"/>
              <w:jc w:val="both"/>
              <w:rPr>
                <w:b/>
                <w:sz w:val="20"/>
              </w:rPr>
            </w:pPr>
            <w:r>
              <w:rPr>
                <w:b/>
                <w:sz w:val="20"/>
              </w:rPr>
              <w:t>SCHEDULING CONFIRMATIONS TO COMPANY:</w:t>
            </w:r>
          </w:p>
          <w:p>
            <w:pPr>
              <w:pStyle w:val="Normal"/>
              <w:ind w:start="-108" w:end="0"/>
              <w:jc w:val="both"/>
              <w:rPr>
                <w:sz w:val="20"/>
              </w:rPr>
            </w:pPr>
            <w:r>
              <w:rPr>
                <w:sz w:val="20"/>
              </w:rPr>
              <w:t>Attn:  ECT Gas Trading</w:t>
            </w:r>
          </w:p>
          <w:p>
            <w:pPr>
              <w:pStyle w:val="Normal"/>
              <w:ind w:start="-108" w:end="0"/>
              <w:jc w:val="both"/>
              <w:rPr>
                <w:sz w:val="20"/>
              </w:rPr>
            </w:pPr>
            <w:r>
              <w:rPr>
                <w:sz w:val="20"/>
              </w:rPr>
              <w:t>Facsimile No. (713) 646-2531</w:t>
            </w:r>
          </w:p>
          <w:p>
            <w:pPr>
              <w:pStyle w:val="Normal"/>
              <w:ind w:start="-108" w:end="0"/>
              <w:jc w:val="both"/>
              <w:rPr>
                <w:sz w:val="20"/>
              </w:rPr>
            </w:pPr>
            <w:r>
              <w:rPr>
                <w:sz w:val="20"/>
              </w:rPr>
            </w:r>
          </w:p>
        </w:tc>
      </w:tr>
    </w:tbl>
    <w:p>
      <w:pPr>
        <w:pStyle w:val="Normal"/>
        <w:jc w:val="both"/>
        <w:rPr/>
      </w:pPr>
      <w:r>
        <w:rPr>
          <w:sz w:val="20"/>
        </w:rPr>
        <w:t>This Firm Confirmation is being provided pursuant to and in accordance with the ENFOLIO FIRM GENERAL TERMS &amp; CONDITIONS (the "</w:t>
      </w:r>
      <w:r>
        <w:rPr>
          <w:sz w:val="20"/>
          <w:u w:val="single"/>
        </w:rPr>
        <w:t>Firm GTC</w:t>
      </w:r>
      <w:r>
        <w:rPr>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  Please execute this Confirmation and return an executed original to Company.</w:t>
      </w:r>
    </w:p>
    <w:p>
      <w:pPr>
        <w:pStyle w:val="Normal"/>
        <w:jc w:val="both"/>
        <w:rPr>
          <w:sz w:val="20"/>
        </w:rPr>
      </w:pPr>
      <w:r>
        <w:rPr>
          <w:sz w:val="20"/>
        </w:rPr>
      </w:r>
    </w:p>
    <w:p>
      <w:pPr>
        <w:pStyle w:val="Normal"/>
        <w:jc w:val="both"/>
        <w:rPr/>
      </w:pPr>
      <w:r>
        <w:rPr>
          <w:sz w:val="20"/>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sz w:val="20"/>
        </w:rPr>
        <w:t xml:space="preserve">  </w:t>
      </w:r>
    </w:p>
    <w:p>
      <w:pPr>
        <w:pStyle w:val="BodyText"/>
        <w:widowControl/>
        <w:rPr>
          <w:sz w:val="20"/>
        </w:rPr>
      </w:pPr>
      <w:r>
        <w:rPr>
          <w:sz w:val="20"/>
        </w:rPr>
        <w:br/>
      </w:r>
    </w:p>
    <w:p>
      <w:pPr>
        <w:pStyle w:val="Normal"/>
        <w:rPr>
          <w:b/>
          <w:sz w:val="20"/>
        </w:rPr>
      </w:pPr>
      <w:r>
        <w:rPr>
          <w:b/>
          <w:sz w:val="20"/>
        </w:rPr>
        <w:t>ROCHE VITAMINS, INC.</w:t>
        <w:tab/>
        <w:tab/>
        <w:tab/>
        <w:tab/>
        <w:t>HOUSTON PIPE LINE COMPANY</w:t>
      </w:r>
    </w:p>
    <w:p>
      <w:pPr>
        <w:pStyle w:val="Normal"/>
        <w:rPr>
          <w:b/>
          <w:sz w:val="20"/>
        </w:rPr>
      </w:pPr>
      <w:r>
        <w:rPr>
          <w:b/>
          <w:sz w:val="20"/>
        </w:rPr>
      </w:r>
    </w:p>
    <w:p>
      <w:pPr>
        <w:pStyle w:val="Normal"/>
        <w:rPr>
          <w:b/>
          <w:sz w:val="20"/>
        </w:rPr>
      </w:pPr>
      <w:r>
        <w:rPr>
          <w:b/>
          <w:sz w:val="20"/>
        </w:rPr>
      </w:r>
    </w:p>
    <w:p>
      <w:pPr>
        <w:pStyle w:val="Normal"/>
        <w:rPr>
          <w:sz w:val="20"/>
        </w:rPr>
      </w:pPr>
      <w:r>
        <w:rPr>
          <w:sz w:val="20"/>
        </w:rPr>
        <w:t>By:____________________________________</w:t>
        <w:tab/>
        <w:tab/>
        <w:t>By: ___________________________________</w:t>
        <w:tab/>
      </w:r>
    </w:p>
    <w:p>
      <w:pPr>
        <w:pStyle w:val="Normal"/>
        <w:rPr>
          <w:sz w:val="20"/>
        </w:rPr>
      </w:pPr>
      <w:r>
        <w:rPr>
          <w:sz w:val="20"/>
        </w:rPr>
        <w:t>Signature</w:t>
        <w:tab/>
        <w:tab/>
        <w:tab/>
        <w:tab/>
        <w:tab/>
        <w:tab/>
        <w:t>Signature</w:t>
      </w:r>
    </w:p>
    <w:p>
      <w:pPr>
        <w:pStyle w:val="Normal"/>
        <w:rPr>
          <w:sz w:val="20"/>
        </w:rPr>
      </w:pPr>
      <w:r>
        <w:rPr>
          <w:sz w:val="20"/>
        </w:rPr>
        <w:t xml:space="preserve">Printed </w:t>
        <w:tab/>
        <w:tab/>
        <w:tab/>
        <w:tab/>
        <w:tab/>
        <w:tab/>
        <w:tab/>
        <w:t>Printed</w:t>
      </w:r>
    </w:p>
    <w:p>
      <w:pPr>
        <w:pStyle w:val="Normal"/>
        <w:rPr>
          <w:sz w:val="20"/>
        </w:rPr>
      </w:pPr>
      <w:r>
        <w:rPr>
          <w:sz w:val="20"/>
        </w:rPr>
        <w:t>Name</w:t>
      </w:r>
      <w:r>
        <w:rPr>
          <w:sz w:val="20"/>
          <w:u w:val="single"/>
        </w:rPr>
        <w:tab/>
        <w:tab/>
        <w:tab/>
        <w:tab/>
        <w:tab/>
        <w:tab/>
      </w:r>
      <w:r>
        <w:rPr>
          <w:sz w:val="20"/>
        </w:rPr>
        <w:tab/>
        <w:t>Name</w:t>
      </w:r>
      <w:r>
        <w:rPr>
          <w:sz w:val="20"/>
          <w:u w:val="single"/>
        </w:rPr>
        <w:tab/>
        <w:tab/>
        <w:tab/>
        <w:tab/>
        <w:tab/>
        <w:tab/>
      </w:r>
    </w:p>
    <w:p>
      <w:pPr>
        <w:pStyle w:val="Normal"/>
        <w:rPr>
          <w:sz w:val="20"/>
        </w:rPr>
      </w:pPr>
      <w:r>
        <w:rPr>
          <w:sz w:val="20"/>
        </w:rPr>
      </w:r>
    </w:p>
    <w:p>
      <w:pPr>
        <w:pStyle w:val="Normal"/>
        <w:rPr>
          <w:sz w:val="20"/>
        </w:rPr>
      </w:pPr>
      <w:r>
        <w:rPr>
          <w:sz w:val="20"/>
        </w:rPr>
        <w:t>Title</w:t>
      </w:r>
      <w:r>
        <w:rPr>
          <w:sz w:val="20"/>
          <w:u w:val="single"/>
        </w:rPr>
        <w:tab/>
        <w:tab/>
        <w:tab/>
        <w:tab/>
        <w:tab/>
        <w:tab/>
      </w:r>
      <w:r>
        <w:rPr>
          <w:sz w:val="20"/>
        </w:rPr>
        <w:tab/>
        <w:t>Title</w:t>
      </w:r>
      <w:r>
        <w:rPr>
          <w:sz w:val="20"/>
          <w:u w:val="single"/>
        </w:rPr>
        <w:tab/>
        <w:tab/>
        <w:tab/>
        <w:tab/>
        <w:tab/>
        <w:tab/>
      </w:r>
    </w:p>
    <w:p>
      <w:pPr>
        <w:pStyle w:val="Normal"/>
        <w:rPr>
          <w:sz w:val="20"/>
        </w:rPr>
      </w:pPr>
      <w:r>
        <w:rPr>
          <w:sz w:val="20"/>
        </w:rPr>
      </w:r>
    </w:p>
    <w:p>
      <w:pPr>
        <w:pStyle w:val="Normal"/>
        <w:rPr>
          <w:sz w:val="20"/>
        </w:rPr>
      </w:pPr>
      <w:r>
        <w:rPr>
          <w:sz w:val="20"/>
        </w:rP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66" w:right="1440" w:gutter="0" w:header="720" w:top="1440" w:footer="720" w:bottom="1008"/>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008"/>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6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/mnt/main-storage/datasets/enron-docs/doc/2001_049crfm-66507e3bda9e89525df1d136afbc0a1a96c1ac4c467c3cb820c69105a63d036c.doc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/mnt/main-storage/datasets/enron-docs/doc/2001_049crfm-66507e3bda9e89525df1d136afbc0a1a96c1ac4c467c3cb820c69105a63d036c.doc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Roche Vitamins, Inc.</w:t>
    </w:r>
  </w:p>
  <w:p>
    <w:pPr>
      <w:pStyle w:val="Header"/>
      <w:rPr>
        <w:rFonts w:ascii="Times New Roman" w:hAnsi="Times New Roman" w:cs="Times New Roman"/>
        <w:sz w:val="20"/>
      </w:rPr>
    </w:pPr>
    <w:r>
      <w:rPr>
        <w:rFonts w:cs="Times New Roman" w:ascii="Times New Roman" w:hAnsi="Times New Roman"/>
        <w:sz w:val="20"/>
      </w:rPr>
      <w:t>June 4, 2001</w:t>
    </w:r>
  </w:p>
  <w:p>
    <w:pPr>
      <w:pStyle w:val="Header"/>
      <w:rPr>
        <w:rStyle w:val="PageNumber"/>
        <w:rFonts w:ascii="Times New Roman" w:hAnsi="Times New Roman" w:cs="Times New Roman"/>
        <w:sz w:val="22"/>
      </w:rPr>
    </w:pPr>
    <w:r>
      <w:rPr>
        <w:rFonts w:cs="Times New Roman" w:ascii="Times New Roman" w:hAnsi="Times New Roman"/>
        <w:sz w:val="20"/>
      </w:rPr>
      <w:t xml:space="preserve">Page </w:t>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5</w:t>
    </w:r>
    <w:r>
      <w:rPr>
        <w:rStyle w:val="PageNumber"/>
        <w:sz w:val="20"/>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54936240"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2001-05-25T10:21:00Z</dcterms:created>
  <dc:creator>Daniel J. Hyvl</dc:creator>
  <dc:description/>
  <dc:language>en-CA</dc:language>
  <cp:lastModifiedBy>dhyvl</cp:lastModifiedBy>
  <cp:lastPrinted>2001-05-25T07:46:00Z</cp:lastPrinted>
  <dcterms:modified xsi:type="dcterms:W3CDTF">2001-06-04T13:00:00Z</dcterms:modified>
  <cp:revision>6</cp:revision>
  <dc:subject/>
  <dc:title>December 15, 1999</dc:title>
</cp:coreProperties>
</file>