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3600" w:start="3600" w:end="0"/>
        <w:jc w:val="center"/>
        <w:rPr/>
      </w:pPr>
      <w:r>
        <w:rPr/>
      </w:r>
    </w:p>
    <w:p>
      <w:pPr>
        <w:pStyle w:val="Normal"/>
        <w:ind w:hanging="3600" w:start="3600" w:end="0"/>
        <w:jc w:val="center"/>
        <w:rPr/>
      </w:pPr>
      <w:r>
        <w:rPr/>
        <w:t>May 15, 2001</w:t>
      </w:r>
    </w:p>
    <w:p>
      <w:pPr>
        <w:pStyle w:val="Normal"/>
        <w:rPr/>
      </w:pPr>
      <w:r>
        <w:rPr/>
      </w:r>
    </w:p>
    <w:p>
      <w:pPr>
        <w:pStyle w:val="Normal"/>
        <w:rPr/>
      </w:pPr>
      <w:r>
        <w:rPr/>
      </w:r>
    </w:p>
    <w:p>
      <w:pPr>
        <w:pStyle w:val="Normal"/>
        <w:rPr/>
      </w:pPr>
      <w:r>
        <w:rPr/>
        <w:t>New Gulf Power Ventures, Inc.</w:t>
      </w:r>
    </w:p>
    <w:p>
      <w:pPr>
        <w:pStyle w:val="Normal"/>
        <w:rPr/>
      </w:pPr>
      <w:r>
        <w:rPr/>
        <w:t>One Riverside Plaza</w:t>
      </w:r>
    </w:p>
    <w:p>
      <w:pPr>
        <w:pStyle w:val="Normal"/>
        <w:rPr/>
      </w:pPr>
      <w:r>
        <w:rPr/>
        <w:t>Columbus, Ohio  43215-2373</w:t>
      </w:r>
    </w:p>
    <w:p>
      <w:pPr>
        <w:pStyle w:val="Normal"/>
        <w:rPr/>
      </w:pPr>
      <w:r>
        <w:rPr/>
      </w:r>
    </w:p>
    <w:p>
      <w:pPr>
        <w:pStyle w:val="Normal"/>
        <w:rPr/>
      </w:pPr>
      <w:r>
        <w:rPr/>
      </w:r>
    </w:p>
    <w:p>
      <w:pPr>
        <w:pStyle w:val="BodyText2"/>
        <w:rPr/>
      </w:pPr>
      <w:r>
        <w:rPr/>
        <w:t>ENFOLIO® FIRM CONFIRMATION -- ENFOLIO® FIRM GENERAL TERMS &amp; CONDITIONS GOVERN</w:t>
      </w:r>
    </w:p>
    <w:p>
      <w:pPr>
        <w:pStyle w:val="Normal"/>
        <w:rPr/>
      </w:pPr>
      <w:r>
        <w:rPr/>
      </w:r>
    </w:p>
    <w:p>
      <w:pPr>
        <w:pStyle w:val="Normal"/>
        <w:jc w:val="both"/>
        <w:rPr/>
      </w:pPr>
      <w:r>
        <w:rPr/>
        <w:t xml:space="preserve">This Confirmation Agreement shall form and effectuate the Agreement between </w:t>
      </w:r>
      <w:r>
        <w:rPr>
          <w:b/>
        </w:rPr>
        <w:t xml:space="preserve">New Gulf Power Ventures, Inc. </w:t>
      </w:r>
      <w:r>
        <w:rPr/>
        <w:t>(“</w:t>
      </w:r>
      <w:r>
        <w:rPr>
          <w:u w:val="single"/>
        </w:rPr>
        <w:t>Customer</w:t>
      </w:r>
      <w:r>
        <w:rPr/>
        <w:t>” or “</w:t>
      </w:r>
      <w:r>
        <w:rPr>
          <w:u w:val="single"/>
        </w:rPr>
        <w:t>Buyer</w:t>
      </w:r>
      <w:r>
        <w:rPr/>
        <w:t xml:space="preserve">”) and </w:t>
      </w:r>
      <w:r>
        <w:rPr>
          <w:b/>
        </w:rPr>
        <w:t xml:space="preserve">Houston Pipe Line Company </w:t>
      </w:r>
      <w:r>
        <w:rPr/>
        <w:t>(“</w:t>
      </w:r>
      <w:r>
        <w:rPr>
          <w:u w:val="single"/>
        </w:rPr>
        <w:t>Company</w:t>
      </w:r>
      <w:r>
        <w:rPr/>
        <w:t>” or “</w:t>
      </w:r>
      <w:r>
        <w:rPr>
          <w:u w:val="single"/>
        </w:rPr>
        <w:t>Seller</w:t>
      </w:r>
      <w:r>
        <w:rPr/>
        <w:t>”) regarding the firm purchase and sale of Gas transaction under the following terms and conditions.  Customer to purchase and receive and Company to sell and deliver.</w:t>
      </w:r>
    </w:p>
    <w:p>
      <w:pPr>
        <w:pStyle w:val="Normal"/>
        <w:jc w:val="both"/>
        <w:rPr/>
      </w:pPr>
      <w:r>
        <w:rPr/>
      </w:r>
    </w:p>
    <w:tbl>
      <w:tblPr>
        <w:tblW w:w="9738" w:type="dxa"/>
        <w:jc w:val="start"/>
        <w:tblInd w:w="0" w:type="dxa"/>
        <w:tblLayout w:type="fixed"/>
        <w:tblCellMar>
          <w:top w:w="0" w:type="dxa"/>
          <w:start w:w="108" w:type="dxa"/>
          <w:bottom w:w="0" w:type="dxa"/>
          <w:end w:w="108" w:type="dxa"/>
        </w:tblCellMar>
      </w:tblPr>
      <w:tblGrid>
        <w:gridCol w:w="3168"/>
        <w:gridCol w:w="6552"/>
        <w:gridCol w:w="18"/>
      </w:tblGrid>
      <w:tr>
        <w:trPr/>
        <w:tc>
          <w:tcPr>
            <w:tcW w:w="3168" w:type="dxa"/>
            <w:tcBorders/>
          </w:tcPr>
          <w:p>
            <w:pPr>
              <w:pStyle w:val="Normal"/>
              <w:rPr>
                <w:b/>
              </w:rPr>
            </w:pPr>
            <w:r>
              <w:rPr>
                <w:b/>
              </w:rPr>
              <w:t>MINIMUM DAILY QUANTITY (“MinDQ”):</w:t>
            </w:r>
          </w:p>
          <w:p>
            <w:pPr>
              <w:pStyle w:val="Normal"/>
              <w:rPr>
                <w:b/>
              </w:rPr>
            </w:pPr>
            <w:r>
              <w:rPr>
                <w:b/>
              </w:rPr>
            </w:r>
          </w:p>
          <w:p>
            <w:pPr>
              <w:pStyle w:val="Normal"/>
              <w:rPr/>
            </w:pPr>
            <w:r>
              <w:rPr>
                <w:b/>
              </w:rPr>
              <w:t>MAXIMUM DAILY QUANTITY (“</w:t>
            </w:r>
            <w:r>
              <w:rPr>
                <w:b/>
                <w:u w:val="single"/>
              </w:rPr>
              <w:t>MaxDQ</w:t>
            </w:r>
            <w:r>
              <w:rPr>
                <w:b/>
              </w:rPr>
              <w:t>”):</w:t>
            </w:r>
          </w:p>
          <w:p>
            <w:pPr>
              <w:pStyle w:val="Normal"/>
              <w:rPr>
                <w:b/>
              </w:rPr>
            </w:pPr>
            <w:r>
              <w:rPr>
                <w:b/>
              </w:rPr>
            </w:r>
          </w:p>
          <w:p>
            <w:pPr>
              <w:pStyle w:val="Normal"/>
              <w:rPr>
                <w:b/>
              </w:rPr>
            </w:pPr>
            <w:r>
              <w:rPr>
                <w:b/>
              </w:rPr>
              <w:t>DAILY CONTRACT QUANTITY (“DCQ”)</w:t>
            </w:r>
          </w:p>
        </w:tc>
        <w:tc>
          <w:tcPr>
            <w:tcW w:w="6570" w:type="dxa"/>
            <w:tcBorders/>
          </w:tcPr>
          <w:p>
            <w:pPr>
              <w:pStyle w:val="BlockText"/>
              <w:snapToGrid w:val="false"/>
              <w:ind w:end="144"/>
              <w:rPr>
                <w:b/>
              </w:rPr>
            </w:pPr>
            <w:r>
              <w:rPr>
                <w:b/>
              </w:rPr>
            </w:r>
          </w:p>
          <w:p>
            <w:pPr>
              <w:pStyle w:val="BlockText"/>
              <w:ind w:end="144"/>
              <w:rPr/>
            </w:pPr>
            <w:r>
              <w:rPr/>
              <w:t>0 MMBtu per Day.</w:t>
            </w:r>
          </w:p>
          <w:p>
            <w:pPr>
              <w:pStyle w:val="Normal"/>
              <w:ind w:start="-108" w:end="-144"/>
              <w:rPr/>
            </w:pPr>
            <w:r>
              <w:rPr/>
            </w:r>
          </w:p>
          <w:p>
            <w:pPr>
              <w:pStyle w:val="Normal"/>
              <w:ind w:start="-108" w:end="-144"/>
              <w:rPr/>
            </w:pPr>
            <w:r>
              <w:rPr/>
            </w:r>
          </w:p>
          <w:p>
            <w:pPr>
              <w:pStyle w:val="Normal"/>
              <w:ind w:start="-108" w:end="-144"/>
              <w:rPr/>
            </w:pPr>
            <w:r>
              <w:rPr/>
              <w:t xml:space="preserve">12,000 MMBtu per Day. </w:t>
            </w:r>
          </w:p>
          <w:p>
            <w:pPr>
              <w:pStyle w:val="Normal"/>
              <w:ind w:start="-108" w:end="-144"/>
              <w:rPr/>
            </w:pPr>
            <w:r>
              <w:rPr/>
            </w:r>
          </w:p>
          <w:p>
            <w:pPr>
              <w:pStyle w:val="Normal"/>
              <w:ind w:start="-108" w:end="162"/>
              <w:jc w:val="both"/>
              <w:rPr/>
            </w:pPr>
            <w:r>
              <w:rPr/>
              <w:t>Customer shall nominate a quantity between the MinDQ and the MaxDQ to Company not less than one (1) Business Day prior to the flow day by 9:00 a.m.  Weekend and holiday nominations shall equal each other and are also due one business day prior to flow.  Each nomination shall be for a minimum of at least 8 hours of flow for the day and once nominated such nominated quantity shall be the DCQ to be purchased and received by Customer for such Day.  It is understood that Customer shall nominate a daily volume but the actual gas may flow at a rate of delivery as high as 833.33 MMBtu per hour.</w:t>
            </w:r>
          </w:p>
        </w:tc>
      </w:tr>
      <w:tr>
        <w:trPr/>
        <w:tc>
          <w:tcPr>
            <w:tcW w:w="3168" w:type="dxa"/>
            <w:tcBorders/>
          </w:tcPr>
          <w:p>
            <w:pPr>
              <w:pStyle w:val="Normal"/>
              <w:snapToGrid w:val="false"/>
              <w:rPr/>
            </w:pPr>
            <w:r>
              <w:rPr/>
            </w:r>
          </w:p>
        </w:tc>
        <w:tc>
          <w:tcPr>
            <w:tcW w:w="6552" w:type="dxa"/>
            <w:tcBorders/>
          </w:tcPr>
          <w:p>
            <w:pPr>
              <w:pStyle w:val="Normal"/>
              <w:snapToGrid w:val="false"/>
              <w:ind w:start="-108" w:end="-144"/>
              <w:rPr/>
            </w:pPr>
            <w:r>
              <w:rPr/>
            </w:r>
          </w:p>
        </w:tc>
      </w:tr>
      <w:tr>
        <w:trPr/>
        <w:tc>
          <w:tcPr>
            <w:tcW w:w="3168" w:type="dxa"/>
            <w:tcBorders/>
          </w:tcPr>
          <w:p>
            <w:pPr>
              <w:pStyle w:val="Normal"/>
              <w:rPr>
                <w:b/>
              </w:rPr>
            </w:pPr>
            <w:r>
              <w:rPr>
                <w:b/>
              </w:rPr>
              <w:t>DELIVERY POINTS:</w:t>
            </w:r>
          </w:p>
        </w:tc>
        <w:tc>
          <w:tcPr>
            <w:tcW w:w="6552" w:type="dxa"/>
            <w:tcBorders/>
          </w:tcPr>
          <w:p>
            <w:pPr>
              <w:pStyle w:val="Normal"/>
              <w:ind w:start="-108" w:end="144"/>
              <w:jc w:val="both"/>
              <w:rPr/>
            </w:pPr>
            <w:r>
              <w:rPr/>
              <w:t>Company’s New Gulf Power Plant meter #1433 located in Wharton County, Texas.</w:t>
            </w:r>
          </w:p>
        </w:tc>
      </w:tr>
      <w:tr>
        <w:trPr/>
        <w:tc>
          <w:tcPr>
            <w:tcW w:w="3168" w:type="dxa"/>
            <w:tcBorders/>
          </w:tcPr>
          <w:p>
            <w:pPr>
              <w:pStyle w:val="Normal"/>
              <w:snapToGrid w:val="false"/>
              <w:rPr/>
            </w:pPr>
            <w:r>
              <w:rPr/>
            </w:r>
          </w:p>
        </w:tc>
        <w:tc>
          <w:tcPr>
            <w:tcW w:w="6552" w:type="dxa"/>
            <w:tcBorders/>
          </w:tcPr>
          <w:p>
            <w:pPr>
              <w:pStyle w:val="Normal"/>
              <w:snapToGrid w:val="false"/>
              <w:ind w:start="-108" w:end="-144"/>
              <w:rPr/>
            </w:pPr>
            <w:r>
              <w:rPr/>
            </w:r>
          </w:p>
        </w:tc>
      </w:tr>
      <w:tr>
        <w:trPr>
          <w:trHeight w:val="1683" w:hRule="atLeast"/>
        </w:trPr>
        <w:tc>
          <w:tcPr>
            <w:tcW w:w="3168" w:type="dxa"/>
            <w:tcBorders/>
          </w:tcPr>
          <w:p>
            <w:pPr>
              <w:pStyle w:val="Normal"/>
              <w:rPr>
                <w:b/>
              </w:rPr>
            </w:pPr>
            <w:r>
              <w:rPr>
                <w:b/>
              </w:rPr>
              <w:t>CONTRACT PRICE:</w:t>
            </w:r>
          </w:p>
        </w:tc>
        <w:tc>
          <w:tcPr>
            <w:tcW w:w="6552" w:type="dxa"/>
            <w:tcBorders/>
          </w:tcPr>
          <w:p>
            <w:pPr>
              <w:pStyle w:val="Normal"/>
              <w:ind w:start="-108" w:end="144"/>
              <w:jc w:val="both"/>
              <w:rPr/>
            </w:pPr>
            <w:r>
              <w:rPr/>
              <w:t xml:space="preserve">(1)  The amount per MMBtu to be paid by Customer for gas service pursuant to this confirmation each month for the DCQ up to the MaxDQ shall be the sum of (a) “Spot Price (Midpoint)” set forth in </w:t>
            </w:r>
            <w:r>
              <w:rPr>
                <w:u w:val="single"/>
              </w:rPr>
              <w:t>Gas Daily</w:t>
            </w:r>
            <w:r>
              <w:rPr/>
              <w:t xml:space="preserve"> (Financial Energy Times) or successor publication, in the column “Daily Price Survey” under the column “East-Houston-Katy, Houston Ship Channel” as reported for the relevant gas day, plus (b) $0.10 per MMBtu.  The “relevant gas day” shall be deemed to be the day of flow.</w:t>
            </w:r>
          </w:p>
          <w:p>
            <w:pPr>
              <w:pStyle w:val="Normal"/>
              <w:ind w:start="-108" w:end="144"/>
              <w:jc w:val="both"/>
              <w:rPr/>
            </w:pPr>
            <w:r>
              <w:rPr/>
              <w:t>(2)  The amount per MMBtu to be paid by Customer for volumes taken in excess of the DCQ shall be the sum of (a) the higher of the Spot Price (Midpoint) as reported for the relevant gas day and for the following day, plus (b) $0.10 per MMBtu.  All volumes in excess of the MaxDQ are considered interruptible.</w:t>
            </w:r>
          </w:p>
          <w:p>
            <w:pPr>
              <w:pStyle w:val="Normal"/>
              <w:ind w:start="-115" w:end="144"/>
              <w:jc w:val="both"/>
              <w:rPr/>
            </w:pPr>
            <w:r>
              <w:rPr/>
              <w:t>(3)  In the event the volumes taken during any Day are less than the DCQ, Customer shall pay Company an amount equal to the difference between the volume taken and the DCQ for such Day times the positive difference, if any, obtained by substracting the lesser of the Spot Price (Midpoint) for the relevant gas day and for the following day from the price for the relevant gas day determined under 1) above.</w:t>
            </w:r>
          </w:p>
        </w:tc>
      </w:tr>
      <w:tr>
        <w:trPr/>
        <w:tc>
          <w:tcPr>
            <w:tcW w:w="3168" w:type="dxa"/>
            <w:tcBorders/>
          </w:tcPr>
          <w:p>
            <w:pPr>
              <w:pStyle w:val="Normal"/>
              <w:rPr>
                <w:b/>
              </w:rPr>
            </w:pPr>
            <w:r>
              <w:rPr>
                <w:b/>
              </w:rPr>
              <w:t>PERIOD OF DELIVERY:</w:t>
            </w:r>
          </w:p>
        </w:tc>
        <w:tc>
          <w:tcPr>
            <w:tcW w:w="6552" w:type="dxa"/>
            <w:tcBorders/>
          </w:tcPr>
          <w:p>
            <w:pPr>
              <w:pStyle w:val="Normal"/>
              <w:ind w:start="-108" w:end="0"/>
              <w:jc w:val="both"/>
              <w:rPr/>
            </w:pPr>
            <w:r>
              <w:rPr/>
              <w:t>May 14, 2001 through September 30, 2001.</w:t>
            </w:r>
          </w:p>
        </w:tc>
      </w:tr>
      <w:tr>
        <w:trPr/>
        <w:tc>
          <w:tcPr>
            <w:tcW w:w="3168" w:type="dxa"/>
            <w:tcBorders/>
          </w:tcPr>
          <w:p>
            <w:pPr>
              <w:pStyle w:val="Normal"/>
              <w:snapToGrid w:val="false"/>
              <w:rPr/>
            </w:pPr>
            <w:r>
              <w:rPr/>
            </w:r>
          </w:p>
        </w:tc>
        <w:tc>
          <w:tcPr>
            <w:tcW w:w="6552" w:type="dxa"/>
            <w:tcBorders/>
          </w:tcPr>
          <w:p>
            <w:pPr>
              <w:pStyle w:val="Normal"/>
              <w:snapToGrid w:val="false"/>
              <w:ind w:start="-108" w:end="0"/>
              <w:rPr/>
            </w:pPr>
            <w:r>
              <w:rPr/>
            </w:r>
          </w:p>
        </w:tc>
      </w:tr>
      <w:tr>
        <w:trPr/>
        <w:tc>
          <w:tcPr>
            <w:tcW w:w="3168" w:type="dxa"/>
            <w:tcBorders/>
          </w:tcPr>
          <w:p>
            <w:pPr>
              <w:pStyle w:val="Normal"/>
              <w:jc w:val="both"/>
              <w:rPr>
                <w:b/>
              </w:rPr>
            </w:pPr>
            <w:r>
              <w:rPr>
                <w:b/>
              </w:rPr>
              <w:t>SPOT PRICE LOCATION:</w:t>
            </w:r>
          </w:p>
        </w:tc>
        <w:tc>
          <w:tcPr>
            <w:tcW w:w="6552" w:type="dxa"/>
            <w:tcBorders/>
          </w:tcPr>
          <w:p>
            <w:pPr>
              <w:pStyle w:val="Normal"/>
              <w:ind w:start="-90" w:end="0"/>
              <w:jc w:val="both"/>
              <w:rPr/>
            </w:pPr>
            <w:r>
              <w:rPr/>
              <w:t>East-Houston-Katy, Houston Ship Channel</w:t>
            </w:r>
          </w:p>
        </w:tc>
      </w:tr>
      <w:tr>
        <w:trPr/>
        <w:tc>
          <w:tcPr>
            <w:tcW w:w="3168" w:type="dxa"/>
            <w:tcBorders/>
          </w:tcPr>
          <w:p>
            <w:pPr>
              <w:pStyle w:val="Normal"/>
              <w:snapToGrid w:val="false"/>
              <w:rPr/>
            </w:pPr>
            <w:r>
              <w:rPr/>
            </w:r>
          </w:p>
        </w:tc>
        <w:tc>
          <w:tcPr>
            <w:tcW w:w="6552" w:type="dxa"/>
            <w:tcBorders/>
          </w:tcPr>
          <w:p>
            <w:pPr>
              <w:pStyle w:val="Normal"/>
              <w:snapToGrid w:val="false"/>
              <w:ind w:start="-108" w:end="0"/>
              <w:jc w:val="both"/>
              <w:rPr/>
            </w:pPr>
            <w:r>
              <w:rPr/>
            </w:r>
          </w:p>
        </w:tc>
      </w:tr>
      <w:tr>
        <w:trPr/>
        <w:tc>
          <w:tcPr>
            <w:tcW w:w="3168" w:type="dxa"/>
            <w:tcBorders/>
          </w:tcPr>
          <w:p>
            <w:pPr>
              <w:pStyle w:val="Normal"/>
              <w:rPr>
                <w:b/>
              </w:rPr>
            </w:pPr>
            <w:r>
              <w:rPr>
                <w:b/>
              </w:rPr>
              <w:t>OTHER:</w:t>
            </w:r>
          </w:p>
        </w:tc>
        <w:tc>
          <w:tcPr>
            <w:tcW w:w="6552" w:type="dxa"/>
            <w:tcBorders/>
          </w:tcPr>
          <w:p>
            <w:pPr>
              <w:pStyle w:val="Normal"/>
              <w:ind w:start="-108" w:end="0"/>
              <w:jc w:val="both"/>
              <w:rPr>
                <w:b/>
              </w:rPr>
            </w:pPr>
            <w:r>
              <w:rPr>
                <w:b/>
              </w:rPr>
              <w:t>NOTICE AND COMMUNICATION TO COMPANY, AS FOLLOWS:</w:t>
            </w:r>
          </w:p>
          <w:p>
            <w:pPr>
              <w:pStyle w:val="Normal"/>
              <w:ind w:start="-108" w:end="0"/>
              <w:jc w:val="both"/>
              <w:rPr>
                <w:b/>
              </w:rPr>
            </w:pPr>
            <w:r>
              <w:rPr>
                <w:b/>
              </w:rPr>
              <w:t>NOTICE/CORRESPONDENCE:</w:t>
            </w:r>
          </w:p>
          <w:p>
            <w:pPr>
              <w:pStyle w:val="Normal"/>
              <w:ind w:start="-108" w:end="0"/>
              <w:jc w:val="both"/>
              <w:rPr/>
            </w:pPr>
            <w:r>
              <w:rPr/>
              <w:t>P. O. Box 4428</w:t>
            </w:r>
          </w:p>
          <w:p>
            <w:pPr>
              <w:pStyle w:val="Normal"/>
              <w:ind w:start="-108" w:end="0"/>
              <w:jc w:val="both"/>
              <w:rPr/>
            </w:pPr>
            <w:r>
              <w:rPr/>
              <w:t>Houston, Texas 77210-4428</w:t>
            </w:r>
          </w:p>
          <w:p>
            <w:pPr>
              <w:pStyle w:val="Normal"/>
              <w:ind w:start="-108" w:end="0"/>
              <w:jc w:val="both"/>
              <w:rPr/>
            </w:pPr>
            <w:r>
              <w:rPr/>
              <w:t>Attn:  Documentation and Deal Clearing</w:t>
            </w:r>
          </w:p>
          <w:p>
            <w:pPr>
              <w:pStyle w:val="Normal"/>
              <w:ind w:start="-108" w:end="0"/>
              <w:jc w:val="both"/>
              <w:rPr/>
            </w:pPr>
            <w:r>
              <w:rPr/>
              <w:t>Facsimile No. (713) 646-4816</w:t>
            </w:r>
          </w:p>
          <w:p>
            <w:pPr>
              <w:pStyle w:val="Normal"/>
              <w:ind w:start="-108" w:end="0"/>
              <w:jc w:val="both"/>
              <w:rPr/>
            </w:pPr>
            <w:r>
              <w:rPr/>
              <w:t>Termination Notice Facsimile No. (713) 646-4818</w:t>
            </w:r>
          </w:p>
          <w:p>
            <w:pPr>
              <w:pStyle w:val="Normal"/>
              <w:ind w:start="-108" w:end="0"/>
              <w:jc w:val="both"/>
              <w:rPr>
                <w:b/>
              </w:rPr>
            </w:pPr>
            <w:r>
              <w:rPr>
                <w:b/>
              </w:rPr>
              <w:t>INVOICES:</w:t>
            </w:r>
          </w:p>
          <w:p>
            <w:pPr>
              <w:pStyle w:val="Normal"/>
              <w:ind w:start="-108" w:end="0"/>
              <w:jc w:val="both"/>
              <w:rPr/>
            </w:pPr>
            <w:r>
              <w:rPr/>
              <w:t>P. O. Box 4428</w:t>
            </w:r>
          </w:p>
          <w:p>
            <w:pPr>
              <w:pStyle w:val="Normal"/>
              <w:ind w:start="-108" w:end="0"/>
              <w:jc w:val="both"/>
              <w:rPr/>
            </w:pPr>
            <w:r>
              <w:rPr/>
              <w:t>Houston, Texas 77210-4428</w:t>
            </w:r>
          </w:p>
          <w:p>
            <w:pPr>
              <w:pStyle w:val="Normal"/>
              <w:ind w:start="-108" w:end="0"/>
              <w:jc w:val="both"/>
              <w:rPr/>
            </w:pPr>
            <w:r>
              <w:rPr/>
              <w:t>Attn:  Client Services</w:t>
            </w:r>
          </w:p>
          <w:p>
            <w:pPr>
              <w:pStyle w:val="Normal"/>
              <w:ind w:start="-108" w:end="0"/>
              <w:jc w:val="both"/>
              <w:rPr/>
            </w:pPr>
            <w:r>
              <w:rPr/>
              <w:t>Facsimile No. (713) 646-8420</w:t>
            </w:r>
          </w:p>
          <w:p>
            <w:pPr>
              <w:pStyle w:val="Normal"/>
              <w:ind w:start="-108" w:end="0"/>
              <w:jc w:val="both"/>
              <w:rPr>
                <w:b/>
              </w:rPr>
            </w:pPr>
            <w:r>
              <w:rPr>
                <w:b/>
              </w:rPr>
              <w:t>PAYMENTS:</w:t>
            </w:r>
          </w:p>
          <w:p>
            <w:pPr>
              <w:pStyle w:val="Normal"/>
              <w:ind w:start="-108" w:end="0"/>
              <w:jc w:val="both"/>
              <w:rPr/>
            </w:pPr>
            <w:r>
              <w:rPr/>
              <w:t>Houston Pipe Line Company.</w:t>
            </w:r>
          </w:p>
          <w:p>
            <w:pPr>
              <w:pStyle w:val="Normal"/>
              <w:ind w:start="-108" w:end="0"/>
              <w:jc w:val="both"/>
              <w:rPr/>
            </w:pPr>
            <w:r>
              <w:rPr/>
              <w:t>ABA Routing 111000012 Bank of America Account 3750494141</w:t>
            </w:r>
          </w:p>
          <w:p>
            <w:pPr>
              <w:pStyle w:val="Normal"/>
              <w:ind w:start="-108" w:end="0"/>
              <w:jc w:val="both"/>
              <w:rPr>
                <w:b/>
              </w:rPr>
            </w:pPr>
            <w:r>
              <w:rPr>
                <w:b/>
              </w:rPr>
              <w:t>NOMINATIONS TO COMPANY:</w:t>
            </w:r>
          </w:p>
          <w:p>
            <w:pPr>
              <w:pStyle w:val="Normal"/>
              <w:ind w:start="-108" w:end="0"/>
              <w:jc w:val="both"/>
              <w:rPr/>
            </w:pPr>
            <w:r>
              <w:rPr/>
              <w:t>1(800)356-9427/1(800)FLOWGAS</w:t>
            </w:r>
          </w:p>
          <w:p>
            <w:pPr>
              <w:pStyle w:val="Normal"/>
              <w:ind w:start="-108" w:end="0"/>
              <w:jc w:val="both"/>
              <w:rPr>
                <w:b/>
              </w:rPr>
            </w:pPr>
            <w:r>
              <w:rPr>
                <w:b/>
              </w:rPr>
              <w:t>SCHEDULING CONFIRMATIONS TO COMPANY:</w:t>
            </w:r>
          </w:p>
          <w:p>
            <w:pPr>
              <w:pStyle w:val="Normal"/>
              <w:ind w:start="-108" w:end="0"/>
              <w:jc w:val="both"/>
              <w:rPr/>
            </w:pPr>
            <w:r>
              <w:rPr/>
              <w:t>Attn:  ECT Gas Trading</w:t>
            </w:r>
          </w:p>
          <w:p>
            <w:pPr>
              <w:pStyle w:val="Normal"/>
              <w:ind w:start="-108" w:end="0"/>
              <w:jc w:val="both"/>
              <w:rPr/>
            </w:pPr>
            <w:r>
              <w:rPr/>
              <w:t>Facsimile No. (713) 646-2531</w:t>
            </w:r>
          </w:p>
          <w:p>
            <w:pPr>
              <w:pStyle w:val="Normal"/>
              <w:ind w:start="-108" w:end="0"/>
              <w:jc w:val="both"/>
              <w:rPr/>
            </w:pPr>
            <w:r>
              <w:rPr/>
            </w:r>
          </w:p>
        </w:tc>
      </w:tr>
    </w:tbl>
    <w:p>
      <w:pPr>
        <w:pStyle w:val="Normal"/>
        <w:jc w:val="both"/>
        <w:rPr/>
      </w:pPr>
      <w:r>
        <w:rPr/>
        <w:t>This Firm Confirmation is being provided pursuant to and in accordance with the ENFOLIO FIRM GENERAL TERMS &amp; CONDITIONS (the "</w:t>
      </w:r>
      <w:r>
        <w:rPr>
          <w:u w:val="single"/>
        </w:rPr>
        <w:t>Firm GTC</w:t>
      </w:r>
      <w:r>
        <w:rPr/>
        <w:t>") and constitutes part of and is subject to all of the provisions of the Firm GTC.  Company does hereby adopt its letterhead, including its address, as its signature in respect of the identification of Company and the authentication by Company of this Firm Confirmation.  Any objection of Customer to this Firm Confirmation must be made by written notice to Company within 10 days of receipt of same.</w:t>
      </w:r>
    </w:p>
    <w:p>
      <w:pPr>
        <w:pStyle w:val="Normal"/>
        <w:jc w:val="both"/>
        <w:rPr/>
      </w:pPr>
      <w:r>
        <w:rPr/>
      </w:r>
    </w:p>
    <w:p>
      <w:pPr>
        <w:pStyle w:val="Normal"/>
        <w:jc w:val="both"/>
        <w:rPr>
          <w:rFonts w:ascii="Arial Narrow" w:hAnsi="Arial Narrow" w:cs="Arial Narrow"/>
          <w:sz w:val="20"/>
        </w:rPr>
      </w:pPr>
      <w:r>
        <w:rPr/>
        <w:t>Neither party shall disclose the terms of this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Firm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r>
        <w:rPr>
          <w:rFonts w:cs="Arial Narrow" w:ascii="Arial Narrow" w:hAnsi="Arial Narrow"/>
        </w:rPr>
        <w:t xml:space="preserve">  </w:t>
      </w:r>
    </w:p>
    <w:p>
      <w:pPr>
        <w:pStyle w:val="Normal"/>
        <w:rPr/>
      </w:pPr>
      <w:r>
        <w:rPr/>
        <w:br/>
      </w:r>
      <w:r>
        <w:br w:type="page"/>
      </w:r>
    </w:p>
    <w:p>
      <w:pPr>
        <w:pStyle w:val="Normal"/>
        <w:rPr/>
      </w:pPr>
      <w:r>
        <w:rPr/>
      </w:r>
    </w:p>
    <w:p>
      <w:pPr>
        <w:sectPr>
          <w:headerReference w:type="default" r:id="rId2"/>
          <w:headerReference w:type="first" r:id="rId3"/>
          <w:footerReference w:type="default" r:id="rId4"/>
          <w:footerReference w:type="first" r:id="rId5"/>
          <w:type w:val="nextPage"/>
          <w:pgSz w:w="12240" w:h="15840"/>
          <w:pgMar w:left="1166" w:right="1440" w:gutter="0" w:header="720" w:top="1440" w:footer="720" w:bottom="1008"/>
          <w:pgNumType w:start="1" w:fmt="decimal"/>
          <w:formProt w:val="false"/>
          <w:titlePg/>
          <w:textDirection w:val="lrTb"/>
          <w:docGrid w:type="default" w:linePitch="360" w:charSpace="0"/>
        </w:sectPr>
      </w:pPr>
    </w:p>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FIRM 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Firm GTC</w:t>
      </w:r>
      <w:r>
        <w:rPr>
          <w:rFonts w:cs="Arial Narrow" w:ascii="Arial Narrow" w:hAnsi="Arial Narrow"/>
          <w:sz w:val="18"/>
        </w:rPr>
        <w:t>") and Enfolio confirmations of transactions ("</w:t>
      </w:r>
      <w:r>
        <w:rPr>
          <w:rFonts w:cs="Arial Narrow" w:ascii="Arial Narrow" w:hAnsi="Arial Narrow"/>
          <w:sz w:val="18"/>
          <w:u w:val="single"/>
        </w:rPr>
        <w:t>Firm Confirmations</w:t>
      </w:r>
      <w:r>
        <w:rPr>
          <w:rFonts w:cs="Arial Narrow" w:ascii="Arial Narrow" w:hAnsi="Arial Narrow"/>
          <w:sz w:val="18"/>
        </w:rPr>
        <w:t xml:space="preserve">") referencing this Firm GTC, which may be issued at the discretion of Company therein identified.  Transactions may be formed in a recorded telephone conversation between the parties whereby an offer and acceptance shall constitute the valid and enforceable agreement of the parties subject to this Firm GTC and all transactions between the parties shall be considered a single master agreement governed by this Firm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Firm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Daily Contract Quantity</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 xml:space="preserve">as provided in each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All gas shall be scheduled at the Delivery Point(s) on a firm basis and in the Daily Contract Quantity.  If on any day a party fails to schedule the DailyContract Quantity,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Daily Contract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liquidated damages equal to $0.15 multiplied by the Default Quantity.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(Financial Times Energy),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rFonts w:ascii="Arial Narrow" w:hAnsi="Arial Narrow" w:cs="Arial Narrow"/>
          <w:b/>
          <w:sz w:val="18"/>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Firm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Daily Contract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The Notifying Party shall provide the Affected Party a written statement of the amount of the Termination Payment.  If a Termination Payment is owed to the Notifying Party, the Affected Party shall pay the Termination Payment to the Notifying Party within 10 days of receipt of such statement.  If a Termination Payment is owed to the Affected Party, the Notifying Party shall pay the Termination Payment to the Affected Party within 10 days of Affected Party's receipt of such notice.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Daily Contract Quantity for a cumulative period of 10 or more days in a 3 month period. </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(other than with respect to New Taxes) to a  different extent than that existing at the Firm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w:t>
        <w:softHyphen/>
        <w:t xml:space="preserve">tion from the Delivery Point(s).  Seller represents that all scheduled gas shall meet the specifications of Buyer's transporter.  Unless otherwise agreed nothing herein,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Daily Contract Quantity.  If either party receives an order from a transporter requiring action in connection with a transaction (the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Narrow" w:ascii="Arial Narrow" w:hAnsi="Arial Narrow"/>
          <w:b/>
          <w:sz w:val="18"/>
          <w:u w:val="single"/>
        </w:rPr>
        <w:t>6.  Payments</w:t>
      </w:r>
      <w:r>
        <w:rPr>
          <w:rFonts w:cs="Arial Narrow" w:ascii="Arial Narrow" w:hAnsi="Arial Narrow"/>
          <w:sz w:val="18"/>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Firm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Firm GTC may be offset against each other, set off or recouped therefrom, or netted for payment.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Narrow" w:ascii="Arial Narrow" w:hAnsi="Arial Narrow"/>
          <w:sz w:val="18"/>
          <w:u w:val="single"/>
        </w:rPr>
        <w:t>New Tax</w:t>
      </w:r>
      <w:r>
        <w:rPr>
          <w:rFonts w:cs="Arial Narrow" w:ascii="Arial Narrow" w:hAnsi="Arial Narrow"/>
          <w:sz w:val="18"/>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w:t>
      </w:r>
      <w:r>
        <w:rPr>
          <w:rFonts w:cs="Arial Narrow" w:ascii="Arial Narrow" w:hAnsi="Arial Narrow"/>
          <w:b/>
          <w:sz w:val="18"/>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This Firm GTC, each transaction and the rights and duties of the parties arising herefrom shall be governed by the laws of the state of Texas.</w:t>
      </w:r>
    </w:p>
    <w:p>
      <w:pPr>
        <w:pStyle w:val="Normal"/>
        <w:jc w:val="both"/>
        <w:rPr/>
      </w:pPr>
      <w:r>
        <w:rPr>
          <w:rFonts w:cs="Arial Narrow" w:ascii="Arial Narrow" w:hAnsi="Arial Narrow"/>
          <w:b/>
          <w:sz w:val="18"/>
          <w:u w:val="single"/>
        </w:rPr>
        <w:t>12.  Collateral Arrangements.</w:t>
      </w:r>
      <w:r>
        <w:rPr>
          <w:rFonts w:cs="Arial Narrow" w:ascii="Arial Narrow" w:hAnsi="Arial Narrow"/>
          <w:bCs/>
          <w:sz w:val="18"/>
        </w:rPr>
        <w:t xml:space="preserve">  Customer shall at Company’s request either (i) within one Business Day of such request by Company, provide to Company a letter of credit in respect of Customer’s obligations under any Transaction, in such form and for such amount and from such issuer, as is acceptable to Company in its sole and absolute discretion; or (ii) within such period as is specified by Company, provide for the benefit of Company a parent company guarantee in such form and for such amount as is acceptable to Company in its sole and absolute discretion.  Failure to provide such letter of credit or parent company guarantee shall constitute a Triggering Event hereunder giving rise to the immediate right of termination by Company under this Firm GTC.</w:t>
      </w:r>
    </w:p>
    <w:p>
      <w:pPr>
        <w:pStyle w:val="Normal"/>
        <w:jc w:val="both"/>
        <w:rPr/>
      </w:pPr>
      <w:r>
        <w:rPr>
          <w:rFonts w:cs="Arial Narrow" w:ascii="Arial Narrow" w:hAnsi="Arial Narrow"/>
          <w:b/>
          <w:sz w:val="18"/>
          <w:u w:val="single"/>
        </w:rPr>
        <w:t>13.  Warranties</w:t>
      </w:r>
      <w:r>
        <w:rPr>
          <w:rFonts w:cs="Arial Narrow" w:ascii="Arial Narrow" w:hAnsi="Arial Narrow"/>
          <w:sz w:val="18"/>
        </w:rPr>
        <w:t xml:space="preserve">. The following representations and warranties shall apply to transactions under the stated conditions:  (i) if Houston Pipe Line Company ("HPL") is Buyer, Seller represents and warrants to Buyer that all gas will have been produced (A) within the state of Texas and will not have been commingled with other gas which is or may be sold, consumed, transported or otherwise utilized in interstate commerce in such manner which would subject an intrastate transporter to the jurisdiction of the Federal Energy Regulatory Commission or any successor authority under the Natural Gas Act of 1938 or (B) outside of the state of Texas with any transportation on an interstate pipeline having been conducted under Section 311(a)(1) of the Natural Gas Policy Act and (ii) if HPL is Seller and the Delivery Point(s) for the transaction are not interstate interconnections, Buyer represents and warrants to Seller that none of the gas will be sold, consumed, transported or otherwise utilized outside the state of Texas or sold to another party which will subsequently sell, consume, transport or otherwise use the gas outside the state of Texas where such event would subject an intrastate transporter to the jurisdiction of the Federal Energy Regulatory Commission or any successor authority under the Natural Gas Act of 1938.     </w:t>
      </w:r>
      <w:r>
        <w:rPr>
          <w:rFonts w:cs="Arial Narrow" w:ascii="Arial Narrow" w:hAnsi="Arial Narrow"/>
          <w:b/>
          <w:sz w:val="18"/>
        </w:rPr>
        <w:t xml:space="preserve">      </w:t>
      </w:r>
    </w:p>
    <w:sectPr>
      <w:type w:val="continuous"/>
      <w:pgSz w:w="12240" w:h="15840"/>
      <w:pgMar w:left="1170" w:right="576" w:gutter="0" w:header="720" w:top="1440" w:footer="720" w:bottom="1008"/>
      <w:cols w:num="2" w:space="432"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
        <w:i/>
        <w:sz w:val="16"/>
      </w:rPr>
    </w:pPr>
    <w:r>
      <w:rPr>
        <w:i/>
        <w:sz w:val="16"/>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57785" cy="131445"/>
              <wp:effectExtent l="0" t="0" r="0" b="0"/>
              <wp:wrapSquare wrapText="bothSides"/>
              <wp:docPr id="1" name="Frame1"/>
              <a:graphic xmlns:a="http://schemas.openxmlformats.org/drawingml/2006/main">
                <a:graphicData uri="http://schemas.microsoft.com/office/word/2010/wordprocessingShape">
                  <wps:wsp>
                    <wps:cNvSpPr txBox="1"/>
                    <wps:spPr>
                      <a:xfrm>
                        <a:off x="0" y="0"/>
                        <a:ext cx="57785" cy="131445"/>
                      </a:xfrm>
                      <a:prstGeom prst="rect"/>
                      <a:solidFill>
                        <a:srgbClr val="FFFFFF">
                          <a:alpha val="0"/>
                        </a:srgbClr>
                      </a:solidFill>
                    </wps:spPr>
                    <wps:txbx>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p>
                      </w:txbxContent>
                    </wps:txbx>
                    <wps:bodyPr anchor="t" lIns="0" tIns="0" rIns="0" bIns="0">
                      <a:noAutofit/>
                    </wps:bodyPr>
                  </wps:wsp>
                </a:graphicData>
              </a:graphic>
            </wp:anchor>
          </w:drawing>
        </mc:Choice>
        <mc:Fallback>
          <w:pict>
            <v:rect fillcolor="#FFFFFF" style="position:absolute;rotation:-0;width:4.55pt;height:10.35pt;mso-wrap-distance-left:0pt;mso-wrap-distance-right:0pt;mso-wrap-distance-top:0pt;mso-wrap-distance-bottom:0pt;margin-top:0.05pt;mso-position-vertical-relative:text;margin-left:238.6pt;mso-position-horizontal:center;mso-position-horizontal-relative:margin">
              <v:fill opacity="0f"/>
              <v:textbox inset="0in,0in,0in,0in">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p>
                </w:txbxContent>
              </v:textbox>
              <w10:wrap type="square"/>
            </v:rect>
          </w:pict>
        </mc:Fallback>
      </mc:AlternateContent>
    </w:r>
  </w:p>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/mnt/main-storage/datasets/enron-docs/doc/2001_043crfm-e0e663b4be257439e5f8ac602940628cb3abb059b67fc2a01a2dc0c884259e95.doc</w:t>
    </w:r>
    <w:r>
      <w:rPr>
        <w:sz w:val="12"/>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4"/>
      </w:rPr>
    </w:pPr>
    <w:r>
      <w:rPr>
        <w:rFonts w:cs="Times New Roman" w:ascii="Times New Roman" w:hAnsi="Times New Roman"/>
        <w:sz w:val="14"/>
      </w:rPr>
    </w:r>
  </w:p>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/mnt/main-storage/datasets/enron-docs/doc/2001_043crfm-e0e663b4be257439e5f8ac602940628cb3abb059b67fc2a01a2dc0c884259e95.doc</w:t>
    </w:r>
    <w:r>
      <w:rPr>
        <w:sz w:val="12"/>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New Gulf Power Ventures, Inc.</w:t>
    </w:r>
  </w:p>
  <w:p>
    <w:pPr>
      <w:pStyle w:val="Header"/>
      <w:rPr>
        <w:rFonts w:ascii="Times New Roman" w:hAnsi="Times New Roman" w:cs="Times New Roman"/>
        <w:sz w:val="22"/>
      </w:rPr>
    </w:pPr>
    <w:r>
      <w:rPr>
        <w:rFonts w:cs="Times New Roman" w:ascii="Times New Roman" w:hAnsi="Times New Roman"/>
        <w:sz w:val="22"/>
      </w:rPr>
      <w:t>May 15, 2001</w:t>
    </w:r>
  </w:p>
  <w:p>
    <w:pPr>
      <w:pStyle w:val="Header"/>
      <w:rPr>
        <w:rStyle w:val="PageNumber"/>
        <w:rFonts w:ascii="Times New Roman" w:hAnsi="Times New Roman" w:cs="Times New Roman"/>
        <w:sz w:val="22"/>
      </w:rPr>
    </w:pPr>
    <w:r>
      <w:rPr>
        <w:rFonts w:cs="Times New Roman" w:ascii="Times New Roman" w:hAnsi="Times New Roman"/>
        <w:sz w:val="22"/>
      </w:rPr>
      <w:t xml:space="preserve">Page </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5</w:t>
    </w:r>
    <w:r>
      <w:rPr>
        <w:rStyle w:val="PageNumber"/>
        <w:sz w:val="22"/>
        <w:rFonts w:cs="Times New Roman" w:ascii="Times New Roman" w:hAnsi="Times New Roman"/>
      </w:rPr>
      <w:fldChar w:fldCharType="end"/>
    </w:r>
  </w:p>
  <w:p>
    <w:pPr>
      <w:pStyle w:val="Header"/>
      <w:rPr>
        <w:rStyle w:val="PageNumber"/>
        <w:rFonts w:ascii="Times New Roman" w:hAnsi="Times New Roman" w:cs="Times New Roman"/>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78" w:type="dxa"/>
      <w:jc w:val="start"/>
      <w:tblInd w:w="0" w:type="dxa"/>
      <w:tblLayout w:type="fixed"/>
      <w:tblCellMar>
        <w:top w:w="0" w:type="dxa"/>
        <w:start w:w="108" w:type="dxa"/>
        <w:bottom w:w="0" w:type="dxa"/>
        <w:end w:w="108" w:type="dxa"/>
      </w:tblCellMar>
    </w:tblPr>
    <w:tblGrid>
      <w:gridCol w:w="4601"/>
      <w:gridCol w:w="4777"/>
    </w:tblGrid>
    <w:tr>
      <w:trPr/>
      <w:tc>
        <w:tcPr>
          <w:tcW w:w="4601" w:type="dxa"/>
          <w:tcBorders/>
        </w:tcPr>
        <w:p>
          <w:pPr>
            <w:pStyle w:val="Header"/>
            <w:rPr/>
          </w:pPr>
          <w:bookmarkStart w:id="0" w:name="_1003232679"/>
          <w:bookmarkEnd w:id="0"/>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366824719" r:id="rId1"/>
            </w:object>
          </w:r>
        </w:p>
      </w:tc>
      <w:tc>
        <w:tcPr>
          <w:tcW w:w="4777"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tabs>
              <w:tab w:val="clear" w:pos="4320"/>
              <w:tab w:val="center" w:pos="4489" w:leader="none"/>
              <w:tab w:val="right" w:pos="8640" w:leader="none"/>
            </w:tabs>
            <w:ind w:start="1969" w:end="0"/>
            <w:rPr>
              <w:rFonts w:ascii="Arial" w:hAnsi="Arial" w:cs="Arial"/>
              <w:b/>
              <w:sz w:val="18"/>
            </w:rPr>
          </w:pPr>
          <w:r>
            <w:rPr>
              <w:rFonts w:cs="Arial" w:ascii="Arial" w:hAnsi="Arial"/>
              <w:b/>
              <w:sz w:val="18"/>
            </w:rPr>
            <w:t>Houston Pipe Line Company</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rStyle w:val="PageNumber"/>
        <w:rFonts w:ascii="Times New Roman" w:hAnsi="Times New Roman" w:cs="Times New Roman"/>
        <w:sz w:val="22"/>
      </w:rPr>
    </w:pPr>
    <w:r>
      <w:rPr/>
    </w:r>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108" w:end="-144"/>
      <w:jc w:val="both"/>
    </w:pPr>
    <w:rPr/>
  </w:style>
  <w:style w:type="paragraph" w:styleId="BodyText2">
    <w:name w:val="Body Text 2"/>
    <w:basedOn w:val="Normal"/>
    <w:qFormat/>
    <w:pPr>
      <w:jc w:val="center"/>
    </w:pPr>
    <w:rPr>
      <w:b/>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ms Rmn;Times New Roman" w:hAnsi="Tms Rmn;Times New Roman" w:cs="Tms Rmn;Times New Roman"/>
      <w:sz w:val="26"/>
    </w:rPr>
  </w:style>
  <w:style w:type="paragraph" w:styleId="Footer">
    <w:name w:val="footer"/>
    <w:basedOn w:val="Normal"/>
    <w:pPr>
      <w:tabs>
        <w:tab w:val="clear" w:pos="720"/>
        <w:tab w:val="center" w:pos="4320" w:leader="none"/>
        <w:tab w:val="right" w:pos="8640" w:leader="none"/>
      </w:tabs>
    </w:pPr>
    <w:rPr>
      <w:rFonts w:ascii="Tms Rmn;Times New Roman" w:hAnsi="Tms Rmn;Times New Roman" w:cs="Tms Rmn;Times New Roman"/>
      <w:sz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2001-05-15T18:30:00Z</dcterms:created>
  <dc:creator>Daniel J. Hyvl</dc:creator>
  <dc:description/>
  <dc:language>en-CA</dc:language>
  <cp:lastModifiedBy>dhyvl</cp:lastModifiedBy>
  <cp:lastPrinted>2001-05-15T17:11:00Z</cp:lastPrinted>
  <dcterms:modified xsi:type="dcterms:W3CDTF">2001-05-15T19:41:00Z</dcterms:modified>
  <cp:revision>6</cp:revision>
  <dc:subject/>
  <dc:title>December 15, 1999</dc:title>
</cp:coreProperties>
</file>