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20"/>
        </w:rPr>
      </w:pPr>
      <w:r>
        <w:rPr>
          <w:sz w:val="20"/>
        </w:rPr>
      </w:r>
    </w:p>
    <w:p>
      <w:pPr>
        <w:pStyle w:val="Normal"/>
        <w:ind w:end="-720"/>
        <w:jc w:val="center"/>
        <w:rPr>
          <w:sz w:val="20"/>
        </w:rPr>
      </w:pPr>
      <w:r>
        <w:rPr>
          <w:sz w:val="20"/>
        </w:rPr>
        <w:t>May 1, 2001</w:t>
      </w:r>
    </w:p>
    <w:p>
      <w:pPr>
        <w:pStyle w:val="Normal"/>
        <w:jc w:val="center"/>
        <w:rPr>
          <w:sz w:val="20"/>
        </w:rPr>
      </w:pPr>
      <w:r>
        <w:rPr>
          <w:sz w:val="20"/>
        </w:rPr>
      </w:r>
    </w:p>
    <w:p>
      <w:pPr>
        <w:pStyle w:val="Normal"/>
        <w:jc w:val="center"/>
        <w:rPr>
          <w:sz w:val="20"/>
        </w:rPr>
      </w:pPr>
      <w:r>
        <w:rPr>
          <w:sz w:val="20"/>
        </w:rPr>
      </w:r>
    </w:p>
    <w:p>
      <w:pPr>
        <w:pStyle w:val="Header"/>
        <w:tabs>
          <w:tab w:val="clear" w:pos="4320"/>
          <w:tab w:val="clear" w:pos="8640"/>
        </w:tabs>
        <w:rPr>
          <w:sz w:val="20"/>
        </w:rPr>
      </w:pPr>
      <w:r>
        <w:rPr>
          <w:sz w:val="20"/>
        </w:rPr>
        <w:t>Eugene Water &amp; Electric Board</w:t>
      </w:r>
    </w:p>
    <w:p>
      <w:pPr>
        <w:pStyle w:val="Header"/>
        <w:tabs>
          <w:tab w:val="clear" w:pos="4320"/>
          <w:tab w:val="clear" w:pos="8640"/>
        </w:tabs>
        <w:rPr>
          <w:sz w:val="20"/>
        </w:rPr>
      </w:pPr>
      <w:r>
        <w:rPr>
          <w:sz w:val="20"/>
        </w:rPr>
        <w:t>___________________________</w:t>
      </w:r>
    </w:p>
    <w:p>
      <w:pPr>
        <w:pStyle w:val="Header"/>
        <w:tabs>
          <w:tab w:val="clear" w:pos="4320"/>
          <w:tab w:val="clear" w:pos="8640"/>
        </w:tabs>
        <w:rPr>
          <w:sz w:val="20"/>
        </w:rPr>
      </w:pPr>
      <w:r>
        <w:rPr>
          <w:sz w:val="20"/>
        </w:rPr>
        <w:t>___________________________</w:t>
      </w:r>
    </w:p>
    <w:p>
      <w:pPr>
        <w:pStyle w:val="Normal"/>
        <w:rPr>
          <w:sz w:val="20"/>
        </w:rPr>
      </w:pPr>
      <w:r>
        <w:rPr>
          <w:sz w:val="20"/>
        </w:rPr>
        <w:t>___________________________</w:t>
      </w:r>
    </w:p>
    <w:p>
      <w:pPr>
        <w:pStyle w:val="Normal"/>
        <w:numPr>
          <w:ilvl w:val="0"/>
          <w:numId w:val="0"/>
        </w:numPr>
        <w:outlineLvl w:val="0"/>
        <w:rPr>
          <w:sz w:val="20"/>
        </w:rPr>
      </w:pPr>
      <w:r>
        <w:rPr>
          <w:sz w:val="20"/>
        </w:rPr>
        <w:t>Attn:  ______________________</w:t>
      </w:r>
    </w:p>
    <w:p>
      <w:pPr>
        <w:pStyle w:val="Normal"/>
        <w:rPr>
          <w:sz w:val="20"/>
        </w:rPr>
      </w:pPr>
      <w:r>
        <w:rPr>
          <w:sz w:val="20"/>
        </w:rPr>
        <w:t>Fax No.:  (___) ____-__________</w:t>
      </w:r>
    </w:p>
    <w:p>
      <w:pPr>
        <w:pStyle w:val="Normal"/>
        <w:rPr>
          <w:sz w:val="20"/>
        </w:rPr>
      </w:pPr>
      <w:r>
        <w:rPr>
          <w:sz w:val="20"/>
        </w:rPr>
        <w:t>Trans. No.:  ___________</w:t>
      </w:r>
    </w:p>
    <w:p>
      <w:pPr>
        <w:pStyle w:val="Normal"/>
        <w:rPr>
          <w:sz w:val="20"/>
        </w:rPr>
      </w:pPr>
      <w:r>
        <w:rPr>
          <w:sz w:val="20"/>
        </w:rPr>
      </w:r>
    </w:p>
    <w:p>
      <w:pPr>
        <w:pStyle w:val="Normal"/>
        <w:rPr>
          <w:sz w:val="20"/>
        </w:rPr>
      </w:pPr>
      <w:r>
        <w:rPr>
          <w:sz w:val="20"/>
        </w:rPr>
      </w:r>
    </w:p>
    <w:p>
      <w:pPr>
        <w:pStyle w:val="Normal"/>
        <w:numPr>
          <w:ilvl w:val="0"/>
          <w:numId w:val="0"/>
        </w:numPr>
        <w:ind w:end="-720"/>
        <w:jc w:val="center"/>
        <w:outlineLvl w:val="0"/>
        <w:rPr>
          <w:sz w:val="20"/>
        </w:rPr>
      </w:pPr>
      <w:r>
        <w:rPr>
          <w:sz w:val="20"/>
        </w:rPr>
        <w:t>TRANSACTION AGREEMENT</w:t>
      </w:r>
    </w:p>
    <w:p>
      <w:pPr>
        <w:pStyle w:val="Normal"/>
        <w:jc w:val="center"/>
        <w:rPr>
          <w:sz w:val="20"/>
        </w:rPr>
      </w:pPr>
      <w:r>
        <w:rPr>
          <w:sz w:val="20"/>
        </w:rPr>
      </w:r>
    </w:p>
    <w:p>
      <w:pPr>
        <w:pStyle w:val="Normal"/>
        <w:ind w:end="-720"/>
        <w:jc w:val="both"/>
        <w:rPr/>
      </w:pPr>
      <w:r>
        <w:rPr>
          <w:sz w:val="20"/>
        </w:rPr>
        <w:t xml:space="preserve">This Transaction Agreement shall form and effectuate the agreement between Eugene Water &amp; Electric Board ("Customer") and </w:t>
      </w:r>
      <w:r>
        <w:rPr>
          <w:sz w:val="20"/>
        </w:rPr>
        <w:fldChar w:fldCharType="begin"/>
      </w:r>
      <w:r>
        <w:rPr>
          <w:sz w:val="20"/>
        </w:rPr>
        <w:instrText xml:space="preserve"> MERGEFIELD EnronEntityName </w:instrText>
      </w:r>
      <w:r>
        <w:rPr>
          <w:sz w:val="20"/>
        </w:rPr>
        <w:fldChar w:fldCharType="separate"/>
      </w:r>
      <w:r>
        <w:rPr>
          <w:sz w:val="20"/>
        </w:rPr>
        <w:t>Enron North America Corp.</w:t>
      </w:r>
      <w:r>
        <w:rPr>
          <w:sz w:val="20"/>
        </w:rPr>
        <w:fldChar w:fldCharType="end"/>
      </w:r>
      <w:r>
        <w:rPr>
          <w:sz w:val="20"/>
        </w:rPr>
        <w:t xml:space="preserve"> ("</w:t>
      </w:r>
      <w:r>
        <w:rPr>
          <w:sz w:val="20"/>
        </w:rPr>
        <w:fldChar w:fldCharType="begin"/>
      </w:r>
      <w:r>
        <w:rPr>
          <w:sz w:val="20"/>
        </w:rPr>
        <w:instrText xml:space="preserve"> MERGEFIELD EnronEntityCode </w:instrText>
      </w:r>
      <w:r>
        <w:rPr>
          <w:sz w:val="20"/>
        </w:rPr>
        <w:fldChar w:fldCharType="separate"/>
      </w:r>
      <w:r>
        <w:rPr>
          <w:sz w:val="20"/>
        </w:rPr>
        <w:t>ENA</w:t>
      </w:r>
      <w:r>
        <w:rPr>
          <w:sz w:val="20"/>
        </w:rPr>
        <w:fldChar w:fldCharType="end"/>
      </w:r>
      <w:r>
        <w:rPr>
          <w:sz w:val="20"/>
        </w:rPr>
        <w:t xml:space="preserve">" and "Company")  regarding the firm  purchase and sale of Gas under the following terms and conditions. </w:t>
      </w:r>
      <w:r>
        <w:rPr>
          <w:sz w:val="20"/>
        </w:rPr>
        <w:fldChar w:fldCharType="begin"/>
      </w:r>
      <w:r>
        <w:rPr>
          <w:sz w:val="20"/>
        </w:rPr>
        <w:instrText xml:space="preserve"> MERGEFIELD Seller </w:instrText>
      </w:r>
      <w:r>
        <w:rPr>
          <w:sz w:val="20"/>
        </w:rPr>
        <w:fldChar w:fldCharType="separate"/>
      </w:r>
      <w:r>
        <w:rPr>
          <w:sz w:val="20"/>
        </w:rPr>
        <w:t>Customer</w:t>
      </w:r>
      <w:r>
        <w:rPr>
          <w:sz w:val="20"/>
        </w:rPr>
        <w:fldChar w:fldCharType="end"/>
      </w:r>
      <w:r>
        <w:rPr>
          <w:sz w:val="20"/>
        </w:rPr>
        <w:t xml:space="preserve"> to purchase and receive (“Buyer”) and </w:t>
      </w:r>
      <w:r>
        <w:rPr>
          <w:sz w:val="20"/>
        </w:rPr>
        <w:fldChar w:fldCharType="begin"/>
      </w:r>
      <w:r>
        <w:rPr>
          <w:sz w:val="20"/>
        </w:rPr>
        <w:instrText xml:space="preserve"> MERGEFIELD Buyer </w:instrText>
      </w:r>
      <w:r>
        <w:rPr>
          <w:sz w:val="20"/>
        </w:rPr>
        <w:fldChar w:fldCharType="separate"/>
      </w:r>
      <w:r>
        <w:rPr>
          <w:sz w:val="20"/>
        </w:rPr>
        <w:t>Company</w:t>
      </w:r>
      <w:r>
        <w:rPr>
          <w:sz w:val="20"/>
        </w:rPr>
        <w:fldChar w:fldCharType="end"/>
      </w:r>
      <w:r>
        <w:rPr>
          <w:sz w:val="20"/>
        </w:rPr>
        <w:t xml:space="preserve"> to sell and deliver (“Seller”).</w:t>
      </w:r>
    </w:p>
    <w:p>
      <w:pPr>
        <w:pStyle w:val="Normal"/>
        <w:rPr>
          <w:sz w:val="20"/>
        </w:rPr>
      </w:pPr>
      <w:r>
        <w:rPr>
          <w:sz w:val="20"/>
        </w:rPr>
      </w:r>
    </w:p>
    <w:tbl>
      <w:tblPr>
        <w:tblW w:w="9576" w:type="dxa"/>
        <w:jc w:val="start"/>
        <w:tblInd w:w="0" w:type="dxa"/>
        <w:tblLayout w:type="fixed"/>
        <w:tblCellMar>
          <w:top w:w="0" w:type="dxa"/>
          <w:start w:w="108" w:type="dxa"/>
          <w:bottom w:w="0" w:type="dxa"/>
          <w:end w:w="108" w:type="dxa"/>
        </w:tblCellMar>
      </w:tblPr>
      <w:tblGrid>
        <w:gridCol w:w="3348"/>
        <w:gridCol w:w="6228"/>
      </w:tblGrid>
      <w:tr>
        <w:trPr/>
        <w:tc>
          <w:tcPr>
            <w:tcW w:w="3348" w:type="dxa"/>
            <w:tcBorders/>
          </w:tcPr>
          <w:p>
            <w:pPr>
              <w:pStyle w:val="Normal"/>
              <w:rPr>
                <w:sz w:val="20"/>
              </w:rPr>
            </w:pPr>
            <w:r>
              <w:rPr>
                <w:b/>
                <w:sz w:val="20"/>
              </w:rPr>
              <w:t>DAILY CONTRACT QUANTITY (DCQ):</w:t>
            </w:r>
          </w:p>
        </w:tc>
        <w:tc>
          <w:tcPr>
            <w:tcW w:w="6228" w:type="dxa"/>
            <w:tcBorders/>
          </w:tcPr>
          <w:p>
            <w:pPr>
              <w:pStyle w:val="Normal"/>
              <w:snapToGrid w:val="false"/>
              <w:jc w:val="both"/>
              <w:rPr>
                <w:sz w:val="20"/>
              </w:rPr>
            </w:pPr>
            <w:r>
              <w:rPr>
                <w:sz w:val="20"/>
              </w:rPr>
            </w:r>
          </w:p>
          <w:p>
            <w:pPr>
              <w:pStyle w:val="Normal"/>
              <w:jc w:val="both"/>
              <w:rPr>
                <w:sz w:val="20"/>
              </w:rPr>
            </w:pPr>
            <w:r>
              <w:rPr>
                <w:sz w:val="20"/>
              </w:rPr>
              <w:t>Buyer shall Schedule or cause to be Scheduled at the Delivery Point(s) on a firm basis each Gas Day 100% of the total quantity of Gas required by Buyer to meet its system supply and operating needs on such Gas Day including fuel retained by Buyer’s Transporter in transporting Gas to or for Buyer’s account.  Such quantity shall be deemed to be the MinDQ applicable for all purposes hereunder.</w:t>
            </w:r>
          </w:p>
          <w:p>
            <w:pPr>
              <w:pStyle w:val="Normal"/>
              <w:tabs>
                <w:tab w:val="clear" w:pos="720"/>
                <w:tab w:val="left" w:pos="252" w:leader="none"/>
                <w:tab w:val="left" w:pos="792" w:leader="none"/>
              </w:tabs>
              <w:jc w:val="both"/>
              <w:rPr/>
            </w:pPr>
            <w:r>
              <w:rPr>
                <w:sz w:val="20"/>
              </w:rPr>
              <w:tab/>
              <w:tab/>
            </w:r>
            <w:r>
              <w:rPr>
                <w:b/>
                <w:bCs/>
                <w:sz w:val="20"/>
              </w:rPr>
              <w:t>ESTIMATED DAILY QUANTITIES</w:t>
            </w:r>
          </w:p>
          <w:p>
            <w:pPr>
              <w:pStyle w:val="Heading4"/>
              <w:ind w:hanging="0" w:start="0"/>
              <w:rPr/>
            </w:pPr>
            <w:r>
              <w:rPr/>
              <w:tab/>
            </w:r>
            <w:r>
              <w:rPr>
                <w:u w:val="single"/>
              </w:rPr>
              <w:t>MONTH</w:t>
            </w:r>
            <w:r>
              <w:rPr/>
              <w:tab/>
            </w:r>
            <w:r>
              <w:rPr>
                <w:u w:val="single"/>
              </w:rPr>
              <w:t>MMBtu/Day</w:t>
            </w:r>
          </w:p>
          <w:p>
            <w:pPr>
              <w:pStyle w:val="Normal"/>
              <w:tabs>
                <w:tab w:val="clear" w:pos="720"/>
                <w:tab w:val="left" w:pos="252" w:leader="none"/>
                <w:tab w:val="left" w:pos="3402" w:leader="none"/>
              </w:tabs>
              <w:jc w:val="both"/>
              <w:rPr>
                <w:sz w:val="20"/>
              </w:rPr>
            </w:pPr>
            <w:r>
              <w:rPr>
                <w:sz w:val="20"/>
              </w:rPr>
              <w:tab/>
              <w:t>June 2001</w:t>
              <w:tab/>
              <w:t>500</w:t>
            </w:r>
          </w:p>
          <w:p>
            <w:pPr>
              <w:pStyle w:val="Normal"/>
              <w:tabs>
                <w:tab w:val="clear" w:pos="720"/>
                <w:tab w:val="left" w:pos="252" w:leader="none"/>
                <w:tab w:val="left" w:pos="3402" w:leader="none"/>
              </w:tabs>
              <w:jc w:val="both"/>
              <w:rPr>
                <w:sz w:val="20"/>
              </w:rPr>
            </w:pPr>
            <w:r>
              <w:rPr>
                <w:sz w:val="20"/>
              </w:rPr>
              <w:tab/>
              <w:t>July 2001</w:t>
              <w:tab/>
              <w:t>500</w:t>
            </w:r>
          </w:p>
          <w:p>
            <w:pPr>
              <w:pStyle w:val="Normal"/>
              <w:tabs>
                <w:tab w:val="clear" w:pos="720"/>
                <w:tab w:val="left" w:pos="252" w:leader="none"/>
                <w:tab w:val="left" w:pos="3402" w:leader="none"/>
              </w:tabs>
              <w:jc w:val="both"/>
              <w:rPr>
                <w:sz w:val="20"/>
              </w:rPr>
            </w:pPr>
            <w:r>
              <w:rPr>
                <w:sz w:val="20"/>
              </w:rPr>
              <w:tab/>
              <w:t>August 2001</w:t>
              <w:tab/>
              <w:t>500</w:t>
            </w:r>
          </w:p>
          <w:p>
            <w:pPr>
              <w:pStyle w:val="Normal"/>
              <w:tabs>
                <w:tab w:val="clear" w:pos="720"/>
                <w:tab w:val="left" w:pos="252" w:leader="none"/>
                <w:tab w:val="left" w:pos="3402" w:leader="none"/>
              </w:tabs>
              <w:jc w:val="both"/>
              <w:rPr>
                <w:sz w:val="20"/>
              </w:rPr>
            </w:pPr>
            <w:r>
              <w:rPr>
                <w:sz w:val="20"/>
              </w:rPr>
              <w:tab/>
              <w:t>September 2001</w:t>
              <w:tab/>
              <w:t>500</w:t>
            </w:r>
          </w:p>
          <w:p>
            <w:pPr>
              <w:pStyle w:val="Normal"/>
              <w:tabs>
                <w:tab w:val="clear" w:pos="720"/>
                <w:tab w:val="left" w:pos="252" w:leader="none"/>
                <w:tab w:val="left" w:pos="3402" w:leader="none"/>
              </w:tabs>
              <w:jc w:val="both"/>
              <w:rPr>
                <w:sz w:val="20"/>
              </w:rPr>
            </w:pPr>
            <w:r>
              <w:rPr>
                <w:sz w:val="20"/>
              </w:rPr>
              <w:tab/>
              <w:t>October 2001</w:t>
              <w:tab/>
              <w:t>500</w:t>
            </w:r>
          </w:p>
          <w:p>
            <w:pPr>
              <w:pStyle w:val="Normal"/>
              <w:tabs>
                <w:tab w:val="clear" w:pos="720"/>
                <w:tab w:val="left" w:pos="252" w:leader="none"/>
                <w:tab w:val="left" w:pos="3402" w:leader="none"/>
              </w:tabs>
              <w:jc w:val="both"/>
              <w:rPr>
                <w:sz w:val="20"/>
              </w:rPr>
            </w:pPr>
            <w:r>
              <w:rPr>
                <w:sz w:val="20"/>
              </w:rPr>
              <w:tab/>
              <w:t>November 2001</w:t>
              <w:tab/>
              <w:t>1,600</w:t>
            </w:r>
          </w:p>
          <w:p>
            <w:pPr>
              <w:pStyle w:val="Normal"/>
              <w:tabs>
                <w:tab w:val="clear" w:pos="720"/>
                <w:tab w:val="left" w:pos="252" w:leader="none"/>
                <w:tab w:val="left" w:pos="3402" w:leader="none"/>
              </w:tabs>
              <w:jc w:val="both"/>
              <w:rPr>
                <w:sz w:val="20"/>
              </w:rPr>
            </w:pPr>
            <w:r>
              <w:rPr>
                <w:sz w:val="20"/>
              </w:rPr>
              <w:tab/>
              <w:t>December 2001</w:t>
              <w:tab/>
              <w:t>1,600</w:t>
            </w:r>
          </w:p>
          <w:p>
            <w:pPr>
              <w:pStyle w:val="Normal"/>
              <w:tabs>
                <w:tab w:val="clear" w:pos="720"/>
                <w:tab w:val="left" w:pos="252" w:leader="none"/>
                <w:tab w:val="left" w:pos="3402" w:leader="none"/>
              </w:tabs>
              <w:jc w:val="both"/>
              <w:rPr>
                <w:sz w:val="20"/>
              </w:rPr>
            </w:pPr>
            <w:r>
              <w:rPr>
                <w:sz w:val="20"/>
              </w:rPr>
              <w:tab/>
              <w:t>January 2002</w:t>
              <w:tab/>
              <w:t>1,600</w:t>
            </w:r>
          </w:p>
          <w:p>
            <w:pPr>
              <w:pStyle w:val="Normal"/>
              <w:tabs>
                <w:tab w:val="clear" w:pos="720"/>
                <w:tab w:val="left" w:pos="252" w:leader="none"/>
                <w:tab w:val="left" w:pos="3402" w:leader="none"/>
              </w:tabs>
              <w:jc w:val="both"/>
              <w:rPr>
                <w:sz w:val="20"/>
              </w:rPr>
            </w:pPr>
            <w:r>
              <w:rPr>
                <w:sz w:val="20"/>
              </w:rPr>
              <w:tab/>
              <w:t>February 2002</w:t>
              <w:tab/>
              <w:t>1,600</w:t>
            </w:r>
          </w:p>
          <w:p>
            <w:pPr>
              <w:pStyle w:val="Normal"/>
              <w:tabs>
                <w:tab w:val="clear" w:pos="720"/>
                <w:tab w:val="left" w:pos="252" w:leader="none"/>
                <w:tab w:val="left" w:pos="3402" w:leader="none"/>
              </w:tabs>
              <w:jc w:val="both"/>
              <w:rPr>
                <w:sz w:val="20"/>
              </w:rPr>
            </w:pPr>
            <w:r>
              <w:rPr>
                <w:sz w:val="20"/>
              </w:rPr>
              <w:tab/>
              <w:t>March 2002</w:t>
              <w:tab/>
              <w:t>1,600</w:t>
            </w:r>
          </w:p>
          <w:p>
            <w:pPr>
              <w:pStyle w:val="Normal"/>
              <w:tabs>
                <w:tab w:val="clear" w:pos="720"/>
                <w:tab w:val="left" w:pos="252" w:leader="none"/>
                <w:tab w:val="left" w:pos="3402" w:leader="none"/>
              </w:tabs>
              <w:jc w:val="both"/>
              <w:rPr>
                <w:sz w:val="20"/>
              </w:rPr>
            </w:pPr>
            <w:r>
              <w:rPr>
                <w:sz w:val="20"/>
              </w:rPr>
              <w:tab/>
              <w:t>April 2002</w:t>
              <w:tab/>
              <w:t>500</w:t>
            </w:r>
          </w:p>
          <w:p>
            <w:pPr>
              <w:pStyle w:val="Normal"/>
              <w:tabs>
                <w:tab w:val="clear" w:pos="720"/>
                <w:tab w:val="left" w:pos="252" w:leader="none"/>
                <w:tab w:val="left" w:pos="3402" w:leader="none"/>
              </w:tabs>
              <w:jc w:val="both"/>
              <w:rPr>
                <w:sz w:val="20"/>
              </w:rPr>
            </w:pPr>
            <w:r>
              <w:rPr>
                <w:sz w:val="20"/>
              </w:rPr>
              <w:tab/>
              <w:t>May 2002</w:t>
              <w:tab/>
              <w:t>500</w:t>
            </w:r>
          </w:p>
          <w:p>
            <w:pPr>
              <w:pStyle w:val="Normal"/>
              <w:tabs>
                <w:tab w:val="clear" w:pos="720"/>
                <w:tab w:val="left" w:pos="252" w:leader="none"/>
                <w:tab w:val="left" w:pos="3402" w:leader="none"/>
              </w:tabs>
              <w:jc w:val="both"/>
              <w:rPr>
                <w:sz w:val="20"/>
              </w:rPr>
            </w:pPr>
            <w:r>
              <w:rPr>
                <w:sz w:val="20"/>
              </w:rPr>
              <w:t>Estimated Daily Quantities are for informational purposes only and do not reflect any quantity obligations between the parties.  Buyer will notify Seller five business days before the beginning of the month with its best estimate of its daily demand for the next month, this estimate will be known as the Baseload Demand Quantity (“BDQ”).  Buyer shall promptly notify Seller if Buyer’s actual demand is anticipated to vary form the BDQ by more than 20%.</w:t>
            </w:r>
          </w:p>
        </w:tc>
      </w:tr>
      <w:tr>
        <w:trPr/>
        <w:tc>
          <w:tcPr>
            <w:tcW w:w="3348" w:type="dxa"/>
            <w:tcBorders/>
          </w:tcPr>
          <w:p>
            <w:pPr>
              <w:pStyle w:val="Normal"/>
              <w:snapToGrid w:val="false"/>
              <w:rPr>
                <w:sz w:val="20"/>
              </w:rPr>
            </w:pPr>
            <w:r>
              <w:rPr>
                <w:sz w:val="20"/>
              </w:rPr>
            </w:r>
          </w:p>
        </w:tc>
        <w:tc>
          <w:tcPr>
            <w:tcW w:w="6228" w:type="dxa"/>
            <w:tcBorders/>
          </w:tcPr>
          <w:p>
            <w:pPr>
              <w:pStyle w:val="Normal"/>
              <w:snapToGrid w:val="false"/>
              <w:rPr>
                <w:sz w:val="20"/>
              </w:rPr>
            </w:pPr>
            <w:r>
              <w:rPr>
                <w:sz w:val="20"/>
              </w:rPr>
            </w:r>
          </w:p>
        </w:tc>
      </w:tr>
      <w:tr>
        <w:trPr/>
        <w:tc>
          <w:tcPr>
            <w:tcW w:w="3348" w:type="dxa"/>
            <w:tcBorders/>
          </w:tcPr>
          <w:p>
            <w:pPr>
              <w:pStyle w:val="Normal"/>
              <w:rPr>
                <w:sz w:val="20"/>
              </w:rPr>
            </w:pPr>
            <w:r>
              <w:rPr>
                <w:b/>
                <w:sz w:val="20"/>
              </w:rPr>
              <w:t>DELIVERY POINT:</w:t>
            </w:r>
          </w:p>
        </w:tc>
        <w:tc>
          <w:tcPr>
            <w:tcW w:w="6228" w:type="dxa"/>
            <w:tcBorders/>
          </w:tcPr>
          <w:p>
            <w:pPr>
              <w:pStyle w:val="Normal"/>
              <w:jc w:val="both"/>
              <w:rPr>
                <w:sz w:val="20"/>
              </w:rPr>
            </w:pPr>
            <w:r>
              <w:rPr>
                <w:sz w:val="20"/>
              </w:rPr>
              <w:t>Northwest Natural Gas City Gate</w:t>
            </w:r>
          </w:p>
        </w:tc>
      </w:tr>
      <w:tr>
        <w:trPr/>
        <w:tc>
          <w:tcPr>
            <w:tcW w:w="3348" w:type="dxa"/>
            <w:tcBorders/>
          </w:tcPr>
          <w:p>
            <w:pPr>
              <w:pStyle w:val="Normal"/>
              <w:snapToGrid w:val="false"/>
              <w:rPr>
                <w:sz w:val="20"/>
              </w:rPr>
            </w:pPr>
            <w:r>
              <w:rPr>
                <w:sz w:val="20"/>
              </w:rPr>
            </w:r>
          </w:p>
        </w:tc>
        <w:tc>
          <w:tcPr>
            <w:tcW w:w="6228" w:type="dxa"/>
            <w:tcBorders/>
          </w:tcPr>
          <w:p>
            <w:pPr>
              <w:pStyle w:val="Normal"/>
              <w:snapToGrid w:val="false"/>
              <w:rPr>
                <w:sz w:val="20"/>
              </w:rPr>
            </w:pPr>
            <w:r>
              <w:rPr>
                <w:sz w:val="20"/>
              </w:rPr>
            </w:r>
          </w:p>
        </w:tc>
      </w:tr>
      <w:tr>
        <w:trPr/>
        <w:tc>
          <w:tcPr>
            <w:tcW w:w="3348" w:type="dxa"/>
            <w:tcBorders/>
          </w:tcPr>
          <w:p>
            <w:pPr>
              <w:pStyle w:val="Normal"/>
              <w:rPr>
                <w:sz w:val="20"/>
              </w:rPr>
            </w:pPr>
            <w:r>
              <w:rPr>
                <w:b/>
                <w:sz w:val="20"/>
              </w:rPr>
              <w:t>PERIOD OF DELIVERY:</w:t>
            </w:r>
          </w:p>
        </w:tc>
        <w:tc>
          <w:tcPr>
            <w:tcW w:w="6228" w:type="dxa"/>
            <w:tcBorders/>
          </w:tcPr>
          <w:p>
            <w:pPr>
              <w:pStyle w:val="Normal"/>
              <w:jc w:val="both"/>
              <w:rPr/>
            </w:pPr>
            <w:r>
              <w:rPr>
                <w:sz w:val="20"/>
              </w:rPr>
              <w:t>June 1, 2001</w:t>
            </w:r>
            <w:r>
              <w:rPr>
                <w:color w:val="000080"/>
                <w:sz w:val="20"/>
              </w:rPr>
              <w:t xml:space="preserve"> </w:t>
            </w:r>
            <w:r>
              <w:rPr>
                <w:sz w:val="20"/>
              </w:rPr>
              <w:t>through May 31, 2002</w:t>
            </w:r>
          </w:p>
        </w:tc>
      </w:tr>
      <w:tr>
        <w:trPr/>
        <w:tc>
          <w:tcPr>
            <w:tcW w:w="3348" w:type="dxa"/>
            <w:tcBorders/>
          </w:tcPr>
          <w:p>
            <w:pPr>
              <w:pStyle w:val="Normal"/>
              <w:snapToGrid w:val="false"/>
              <w:rPr>
                <w:sz w:val="20"/>
              </w:rPr>
            </w:pPr>
            <w:r>
              <w:rPr>
                <w:sz w:val="20"/>
              </w:rPr>
            </w:r>
          </w:p>
        </w:tc>
        <w:tc>
          <w:tcPr>
            <w:tcW w:w="6228" w:type="dxa"/>
            <w:tcBorders/>
          </w:tcPr>
          <w:p>
            <w:pPr>
              <w:pStyle w:val="Normal"/>
              <w:snapToGrid w:val="false"/>
              <w:rPr>
                <w:sz w:val="20"/>
              </w:rPr>
            </w:pPr>
            <w:r>
              <w:rPr>
                <w:sz w:val="20"/>
              </w:rPr>
            </w:r>
          </w:p>
        </w:tc>
      </w:tr>
      <w:tr>
        <w:trPr/>
        <w:tc>
          <w:tcPr>
            <w:tcW w:w="3348" w:type="dxa"/>
            <w:tcBorders/>
          </w:tcPr>
          <w:p>
            <w:pPr>
              <w:pStyle w:val="Normal"/>
              <w:rPr>
                <w:b/>
                <w:sz w:val="20"/>
              </w:rPr>
            </w:pPr>
            <w:r>
              <w:rPr>
                <w:b/>
                <w:sz w:val="20"/>
              </w:rPr>
              <w:t xml:space="preserve">CONTRACT PRICE </w:t>
            </w:r>
          </w:p>
          <w:p>
            <w:pPr>
              <w:pStyle w:val="Normal"/>
              <w:rPr>
                <w:sz w:val="20"/>
              </w:rPr>
            </w:pPr>
            <w:r>
              <w:rPr>
                <w:b/>
                <w:sz w:val="20"/>
              </w:rPr>
              <w:t>(PER MMBTU):</w:t>
            </w:r>
          </w:p>
        </w:tc>
        <w:tc>
          <w:tcPr>
            <w:tcW w:w="6228" w:type="dxa"/>
            <w:tcBorders/>
          </w:tcPr>
          <w:p>
            <w:pPr>
              <w:pStyle w:val="Normal"/>
              <w:snapToGrid w:val="false"/>
              <w:jc w:val="both"/>
              <w:rPr>
                <w:sz w:val="20"/>
              </w:rPr>
            </w:pPr>
            <w:r>
              <w:rPr>
                <w:sz w:val="20"/>
              </w:rPr>
            </w:r>
          </w:p>
          <w:p>
            <w:pPr>
              <w:pStyle w:val="BodyText"/>
              <w:rPr/>
            </w:pPr>
            <w:r>
              <w:rPr/>
              <w:t>1.  The Contract Price per MMBtu shall be equal to the sum of (a) the Index Price, (b) $0.38 per MMBtu, (c) fuel retained by Northwest Pipeline in delivering volumes from Sumas Washington to the Point of Delivery, and (d) the commodity charges per MMBtu, GRI and ACA as billed by Northwest Pipeline to Seller.  The term “Index Price” means the “Index Price” published in Inside F.E.R.C.’s Gas Market Report for Northwest Pipeline Canadian Border (Sumas), as listed in the table entitled “Prices of Spot Gas Delivered to Pipelines” in the first-of-the-month issue of such publication for each Month during the Period of Delivery.</w:t>
            </w:r>
          </w:p>
          <w:p>
            <w:pPr>
              <w:pStyle w:val="Normal"/>
              <w:jc w:val="both"/>
              <w:rPr>
                <w:iCs/>
                <w:sz w:val="20"/>
              </w:rPr>
            </w:pPr>
            <w:r>
              <w:rPr>
                <w:sz w:val="20"/>
              </w:rPr>
              <w:t xml:space="preserve">2.  </w:t>
            </w:r>
            <w:r>
              <w:rPr>
                <w:iCs/>
                <w:sz w:val="20"/>
              </w:rPr>
              <w:t xml:space="preserve">In the event Buyer’s usage deviates by more than twenty percent (20%) above the BDQ on any Day, such excess deviation shall result in a Buyer’s Overtake Default.  In the event of a Buyer’s Overtake Default, the Buyer’s Overtake Default Quantity shall be equal to the difference between 120% of Buyer’s estimated daily BDQ or, if estimated BDQ was not given, the previous months-average daily usage and the Buyer’s actual daily usage on the Day such Buyer’s Overtake Default occurred.  </w:t>
            </w:r>
            <w:r>
              <w:rPr>
                <w:sz w:val="20"/>
              </w:rPr>
              <w:t xml:space="preserve">In the event of a Buyer’s Overtake Default Quantity, Buyer shall also pay to Seller in additon to the Contract Price under 1) above an amount equal to the sum of the product of the Overtake Default Quantity multiplied by the positive difference, if any, obtained by subtracting the Index Price for the day in which the Overtake Default Quantity occurred from the Common High Spot Price.  The Common High Spot Price shall be the daily price as quoted in Financial Times Energy’s </w:t>
            </w:r>
            <w:r>
              <w:rPr>
                <w:sz w:val="20"/>
                <w:u w:val="single"/>
              </w:rPr>
              <w:t>Gas Daily</w:t>
            </w:r>
            <w:r>
              <w:rPr>
                <w:sz w:val="20"/>
              </w:rPr>
              <w:t xml:space="preserve"> in the “Daily Price Survey” under the heading “Canadian Gas” titled “NW Sumas” Common High column. </w:t>
            </w:r>
            <w:r>
              <w:rPr>
                <w:b/>
                <w:sz w:val="20"/>
              </w:rPr>
              <w:t>Note</w:t>
            </w:r>
            <w:r>
              <w:rPr>
                <w:sz w:val="20"/>
              </w:rPr>
              <w:t>: the Monday price quote is for Saturday, Sunday, and Monday.</w:t>
            </w:r>
          </w:p>
          <w:p>
            <w:pPr>
              <w:pStyle w:val="Normal"/>
              <w:jc w:val="both"/>
              <w:rPr/>
            </w:pPr>
            <w:r>
              <w:rPr>
                <w:sz w:val="20"/>
              </w:rPr>
              <w:t xml:space="preserve">3.  </w:t>
            </w:r>
            <w:r>
              <w:rPr>
                <w:iCs/>
                <w:sz w:val="20"/>
              </w:rPr>
              <w:t xml:space="preserve">In the event Buyer’s usage deviates by more than twenty percent (20%) below the BDQ on any Day, such excess deviation shall result in a Buyer’s Undertake Default.  In the event of a Buyer’s Undertake Default, the Buyer’s Undertake Default Quantity shall be equal to the difference between 80% of Buyer’s estimated daily BDQ or, if estimated BDQ was not given, the previous months-average daily usage and the Buyer’s actual daily usage on the Day such Buyer’s Undertake Default occurred.  </w:t>
            </w:r>
            <w:r>
              <w:rPr>
                <w:sz w:val="20"/>
              </w:rPr>
              <w:t xml:space="preserve">In the event of a Buyer’s Undertake Default Quantity, Buyer shall pay to Seller an amount equal to the sum of the product of the Undertake Default Quantity multiplied by the positive difference, if any, obtained by subtracting the Midpoint Spot Price for the day in which the Undertake Default Quantity occurred from the Index Price.  The Midpoint Spot Price shall be the daily price as quoted in Financial Times Energy’s </w:t>
            </w:r>
            <w:r>
              <w:rPr>
                <w:sz w:val="20"/>
                <w:u w:val="single"/>
              </w:rPr>
              <w:t>Gas Daily</w:t>
            </w:r>
            <w:r>
              <w:rPr>
                <w:sz w:val="20"/>
              </w:rPr>
              <w:t xml:space="preserve"> in the “Daily Price Survey” under the heading “Canadian Gas” titled “NW Sumas” Mid-point column. </w:t>
            </w:r>
            <w:r>
              <w:rPr>
                <w:b/>
                <w:sz w:val="20"/>
              </w:rPr>
              <w:t>Note</w:t>
            </w:r>
            <w:r>
              <w:rPr>
                <w:sz w:val="20"/>
              </w:rPr>
              <w:t>: the Monday price quote is for Saturday, Sunday, and Monday.</w:t>
            </w:r>
          </w:p>
        </w:tc>
      </w:tr>
      <w:tr>
        <w:trPr/>
        <w:tc>
          <w:tcPr>
            <w:tcW w:w="3348" w:type="dxa"/>
            <w:tcBorders/>
          </w:tcPr>
          <w:p>
            <w:pPr>
              <w:pStyle w:val="Normal"/>
              <w:snapToGrid w:val="false"/>
              <w:rPr>
                <w:sz w:val="20"/>
              </w:rPr>
            </w:pPr>
            <w:r>
              <w:rPr>
                <w:sz w:val="20"/>
              </w:rPr>
            </w:r>
          </w:p>
        </w:tc>
        <w:tc>
          <w:tcPr>
            <w:tcW w:w="6228" w:type="dxa"/>
            <w:tcBorders/>
          </w:tcPr>
          <w:p>
            <w:pPr>
              <w:pStyle w:val="Normal"/>
              <w:snapToGrid w:val="false"/>
              <w:rPr>
                <w:sz w:val="20"/>
              </w:rPr>
            </w:pPr>
            <w:r>
              <w:rPr>
                <w:sz w:val="20"/>
              </w:rPr>
            </w:r>
          </w:p>
        </w:tc>
      </w:tr>
    </w:tbl>
    <w:p>
      <w:pPr>
        <w:pStyle w:val="Normal"/>
        <w:tabs>
          <w:tab w:val="clear" w:pos="720"/>
          <w:tab w:val="left" w:pos="3330" w:leader="none"/>
        </w:tabs>
        <w:ind w:hanging="3330" w:start="3330" w:end="0"/>
        <w:jc w:val="both"/>
        <w:rPr/>
      </w:pPr>
      <w:r>
        <w:rPr>
          <w:b/>
          <w:bCs/>
          <w:sz w:val="20"/>
        </w:rPr>
        <w:t>SPOT PRICE LOCATION:</w:t>
        <w:tab/>
      </w:r>
      <w:r>
        <w:rPr>
          <w:sz w:val="20"/>
        </w:rPr>
        <w:t>NW Sumas</w:t>
      </w:r>
    </w:p>
    <w:p>
      <w:pPr>
        <w:pStyle w:val="Normal"/>
        <w:tabs>
          <w:tab w:val="clear" w:pos="720"/>
          <w:tab w:val="left" w:pos="3330" w:leader="none"/>
        </w:tabs>
        <w:ind w:hanging="3330" w:start="3330" w:end="0"/>
        <w:jc w:val="both"/>
        <w:rPr>
          <w:b/>
          <w:bCs/>
          <w:sz w:val="20"/>
        </w:rPr>
      </w:pPr>
      <w:r>
        <w:rPr>
          <w:b/>
          <w:bCs/>
          <w:sz w:val="20"/>
        </w:rPr>
      </w:r>
    </w:p>
    <w:p>
      <w:pPr>
        <w:pStyle w:val="Normal"/>
        <w:tabs>
          <w:tab w:val="clear" w:pos="720"/>
          <w:tab w:val="left" w:pos="3330" w:leader="none"/>
        </w:tabs>
        <w:ind w:hanging="3330" w:start="3330" w:end="-720"/>
        <w:jc w:val="both"/>
        <w:rPr/>
      </w:pPr>
      <w:r>
        <w:rPr>
          <w:b/>
          <w:bCs/>
          <w:sz w:val="20"/>
        </w:rPr>
        <w:t>OTHER:</w:t>
        <w:tab/>
      </w:r>
      <w:r>
        <w:rPr>
          <w:sz w:val="20"/>
        </w:rPr>
        <w:t>Customer and Company acknowledge that Company will negotiate and finalize its interruptible transportation agreement (the “Interruptible Transportation Contract”) with Northwest Pipeline Company (“Northwest Pipeline”) that will allow Gas provided by Company to be transported from Sumas Washington to the Point of Delivery pursuant to the Interruptible Transportation Contract on Northwest Pipeline.  Customer agrees that Gas will be supplied on Secondary firm basis, and that Company shall have the right to curtail service in the event a transportation curtailment occurs on this flow path on Northwest Pipeline.</w:t>
      </w:r>
    </w:p>
    <w:p>
      <w:pPr>
        <w:pStyle w:val="Normal"/>
        <w:tabs>
          <w:tab w:val="clear" w:pos="720"/>
          <w:tab w:val="left" w:pos="3330" w:leader="none"/>
        </w:tabs>
        <w:ind w:hanging="3330" w:start="3330" w:end="0"/>
        <w:jc w:val="both"/>
        <w:rPr>
          <w:sz w:val="20"/>
        </w:rPr>
      </w:pPr>
      <w:r>
        <w:rPr>
          <w:b/>
          <w:bCs/>
          <w:sz w:val="20"/>
        </w:rPr>
        <w:tab/>
        <w:tab/>
        <w:tab/>
      </w:r>
    </w:p>
    <w:p>
      <w:pPr>
        <w:pStyle w:val="Normal"/>
        <w:ind w:end="-720"/>
        <w:jc w:val="both"/>
        <w:rPr>
          <w:sz w:val="20"/>
        </w:rPr>
      </w:pPr>
      <w:r>
        <w:rPr>
          <w:sz w:val="20"/>
        </w:rPr>
        <w:t>This Transaction Agreement is being provided pursuant to and in accordance with the ENFOLIO Master Firm Purchase/Sales Agreement (the “Master Agreement”) in effect between Customer and Company, and constitutes part of and is subject to all of the terms and provisions of such Master Agreement.  All capitalized terms herein used, but not defined, shall have the meanings set forth in the Master Agreement.  Any objection of Customer to this Transaction Agreement must be made by written notice to Company prior to the Confirm Deadline, as agreed and defined in the Master Agreement.</w:t>
      </w:r>
    </w:p>
    <w:p>
      <w:pPr>
        <w:pStyle w:val="Normal"/>
        <w:ind w:end="-720"/>
        <w:jc w:val="both"/>
        <w:rPr>
          <w:sz w:val="20"/>
        </w:rPr>
      </w:pPr>
      <w:r>
        <w:rPr>
          <w:sz w:val="20"/>
        </w:rPr>
      </w:r>
    </w:p>
    <w:p>
      <w:pPr>
        <w:pStyle w:val="Normal"/>
        <w:ind w:end="-720"/>
        <w:jc w:val="both"/>
        <w:rPr>
          <w:sz w:val="20"/>
        </w:rPr>
      </w:pPr>
      <w:r>
        <w:rPr>
          <w:sz w:val="20"/>
        </w:rPr>
        <w:t>Please confirm that the terms stated herein accurately reflect the agreement reached between Customer and Company by returning an executed copy of this Transaction Agreemetn to Company.</w:t>
      </w:r>
    </w:p>
    <w:p>
      <w:pPr>
        <w:pStyle w:val="Normal"/>
        <w:ind w:end="-720"/>
        <w:rPr>
          <w:sz w:val="20"/>
        </w:rPr>
      </w:pPr>
      <w:r>
        <w:rPr>
          <w:sz w:val="20"/>
        </w:rPr>
      </w:r>
    </w:p>
    <w:p>
      <w:pPr>
        <w:pStyle w:val="Normal"/>
        <w:ind w:end="-720"/>
        <w:rPr>
          <w:sz w:val="20"/>
        </w:rPr>
      </w:pPr>
      <w:r>
        <w:rPr>
          <w:sz w:val="20"/>
        </w:rPr>
      </w:r>
    </w:p>
    <w:p>
      <w:pPr>
        <w:pStyle w:val="Heading2"/>
        <w:ind w:hanging="0" w:start="0" w:end="-720"/>
        <w:rPr>
          <w:bCs/>
          <w:sz w:val="19"/>
        </w:rPr>
      </w:pPr>
      <w:r>
        <w:rPr>
          <w:bCs/>
          <w:sz w:val="19"/>
        </w:rPr>
        <w:t>EUGENE WATER &amp; ELECTRIC BOARD</w:t>
        <w:tab/>
        <w:tab/>
        <w:tab/>
        <w:t>ENRON NORTH AMERICA CORP.</w:t>
      </w:r>
    </w:p>
    <w:p>
      <w:pPr>
        <w:pStyle w:val="Normal"/>
        <w:ind w:end="-720"/>
        <w:rPr>
          <w:bCs/>
          <w:sz w:val="20"/>
        </w:rPr>
      </w:pPr>
      <w:r>
        <w:rPr>
          <w:bCs/>
          <w:sz w:val="20"/>
        </w:rPr>
      </w:r>
    </w:p>
    <w:p>
      <w:pPr>
        <w:pStyle w:val="Heading2"/>
        <w:ind w:hanging="0" w:start="0" w:end="-720"/>
        <w:rPr>
          <w:sz w:val="20"/>
        </w:rPr>
      </w:pPr>
      <w:r>
        <w:rPr>
          <w:sz w:val="20"/>
        </w:rPr>
      </w:r>
    </w:p>
    <w:p>
      <w:pPr>
        <w:pStyle w:val="Normal"/>
        <w:ind w:end="-720"/>
        <w:rPr>
          <w:sz w:val="20"/>
        </w:rPr>
      </w:pPr>
      <w:r>
        <w:rPr>
          <w:sz w:val="20"/>
        </w:rPr>
        <w:t>By: _________________________________</w:t>
        <w:tab/>
        <w:tab/>
        <w:t>By: ____________________________</w:t>
      </w:r>
    </w:p>
    <w:p>
      <w:pPr>
        <w:pStyle w:val="Normal"/>
        <w:ind w:end="-720"/>
        <w:rPr>
          <w:sz w:val="20"/>
        </w:rPr>
      </w:pPr>
      <w:r>
        <w:rPr>
          <w:sz w:val="20"/>
        </w:rPr>
        <w:t>Title ________________________________</w:t>
        <w:tab/>
        <w:tab/>
        <w:t>Title ___________________________</w:t>
      </w:r>
    </w:p>
    <w:p>
      <w:pPr>
        <w:pStyle w:val="Normal"/>
        <w:ind w:end="-720"/>
        <w:rPr>
          <w:sz w:val="20"/>
        </w:rPr>
      </w:pPr>
      <w:r>
        <w:rPr>
          <w:sz w:val="20"/>
        </w:rPr>
        <w:t>Date________________________________</w:t>
        <w:tab/>
        <w:tab/>
        <w:t>Date___________________________</w:t>
      </w:r>
    </w:p>
    <w:p>
      <w:pPr>
        <w:pStyle w:val="Normal"/>
        <w:ind w:end="-720"/>
        <w:rPr>
          <w:sz w:val="20"/>
        </w:rPr>
      </w:pPr>
      <w:r>
        <w:rPr>
          <w:sz w:val="20"/>
        </w:rPr>
      </w:r>
    </w:p>
    <w:p>
      <w:pPr>
        <w:pStyle w:val="Normal"/>
        <w:rPr>
          <w:sz w:val="20"/>
        </w:rPr>
      </w:pPr>
      <w:r>
        <w:rPr>
          <w:sz w:val="20"/>
        </w:rPr>
      </w:r>
    </w:p>
    <w:sectPr>
      <w:headerReference w:type="default" r:id="rId2"/>
      <w:headerReference w:type="first" r:id="rId3"/>
      <w:footerReference w:type="default" r:id="rId4"/>
      <w:footerReference w:type="first" r:id="rId5"/>
      <w:type w:val="nextPage"/>
      <w:pgSz w:w="12240" w:h="15840"/>
      <w:pgMar w:left="1440" w:right="1440" w:gutter="72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/mnt/main-storage/datasets/enron-docs/doc/2001_042crfm.doc</w:t>
    </w:r>
    <w:r>
      <w:rPr>
        <w:sz w:val="1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/mnt/main-storage/datasets/enron-docs/doc/2001_042crfm.doc</w:t>
    </w:r>
    <w:r>
      <w:rPr>
        <w:sz w:val="12"/>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sz w:val="20"/>
      </w:rPr>
    </w:pPr>
    <w:r>
      <w:rPr>
        <w:sz w:val="20"/>
      </w:rPr>
      <w:t>Eugene Water &amp; Electric Board</w:t>
    </w:r>
  </w:p>
  <w:p>
    <w:pPr>
      <w:pStyle w:val="Normal"/>
      <w:rPr>
        <w:sz w:val="20"/>
      </w:rPr>
    </w:pPr>
    <w:r>
      <w:rPr>
        <w:sz w:val="20"/>
      </w:rPr>
      <w:t>May 1, 2001</w:t>
    </w:r>
  </w:p>
  <w:p>
    <w:pPr>
      <w:pStyle w:val="Normal"/>
      <w:pBdr>
        <w:bottom w:val="single" w:sz="12" w:space="1" w:color="000000"/>
      </w:pBdr>
      <w:rPr>
        <w:rStyle w:val="PageNumber"/>
        <w:sz w:val="20"/>
      </w:rPr>
    </w:pPr>
    <w:r>
      <w:rPr>
        <w:sz w:val="20"/>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3</w:t>
    </w:r>
    <w:r>
      <w:rPr>
        <w:rStyle w:val="PageNumber"/>
        <w:sz w:val="20"/>
      </w:rPr>
      <w:fldChar w:fldCharType="end"/>
    </w:r>
  </w:p>
  <w:p>
    <w:pPr>
      <w:pStyle w:val="Normal"/>
      <w:pBdr>
        <w:bottom w:val="single" w:sz="12" w:space="1" w:color="000000"/>
      </w:pBdr>
      <w:rPr/>
    </w:pPr>
    <w:r>
      <w:rPr>
        <w:rStyle w:val="PageNumber"/>
        <w:sz w:val="20"/>
      </w:rPr>
      <w:t>_________________________________________</w:t>
    </w:r>
  </w:p>
  <w:p>
    <w:pPr>
      <w:pStyle w:val="Normal"/>
      <w:pBdr>
        <w:bottom w:val="single" w:sz="12" w:space="1" w:color="000000"/>
      </w:pBdr>
      <w:rPr>
        <w:rStyle w:val="PageNumber"/>
        <w:sz w:val="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ind w:end="-720"/>
      <w:jc w:val="center"/>
      <w:rPr>
        <w:b/>
        <w:sz w:val="20"/>
      </w:rPr>
    </w:pPr>
    <w:r>
      <w:rPr>
        <w:b/>
        <w:sz w:val="20"/>
      </w:rPr>
    </w:r>
  </w:p>
  <w:tbl>
    <w:tblPr>
      <w:tblW w:w="9468" w:type="dxa"/>
      <w:jc w:val="start"/>
      <w:tblInd w:w="108" w:type="dxa"/>
      <w:tblLayout w:type="fixed"/>
      <w:tblCellMar>
        <w:top w:w="0" w:type="dxa"/>
        <w:start w:w="108" w:type="dxa"/>
        <w:bottom w:w="0" w:type="dxa"/>
        <w:end w:w="108" w:type="dxa"/>
      </w:tblCellMar>
    </w:tblPr>
    <w:tblGrid>
      <w:gridCol w:w="4680"/>
      <w:gridCol w:w="4788"/>
    </w:tblGrid>
    <w:tr>
      <w:trPr/>
      <w:tc>
        <w:tcPr>
          <w:tcW w:w="4680" w:type="dxa"/>
          <w:tcBorders/>
        </w:tcPr>
        <w:p>
          <w:pPr>
            <w:pStyle w:val="Normal"/>
            <w:ind w:end="-720"/>
            <w:rPr>
              <w:sz w:val="20"/>
            </w:rPr>
          </w:pPr>
          <w:r>
            <w:rPr>
              <w:sz w:val="20"/>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1"/>
                        <a:srcRect l="-39" t="-39" r="-39" b="-39"/>
                        <a:stretch>
                          <a:fillRect/>
                        </a:stretch>
                      </pic:blipFill>
                      <pic:spPr bwMode="auto">
                        <a:xfrm>
                          <a:off x="0" y="0"/>
                          <a:ext cx="1086485" cy="1078865"/>
                        </a:xfrm>
                        <a:prstGeom prst="rect">
                          <a:avLst/>
                        </a:prstGeom>
                        <a:noFill/>
                      </pic:spPr>
                    </pic:pic>
                  </a:graphicData>
                </a:graphic>
              </wp:inline>
            </w:drawing>
          </w:r>
        </w:p>
      </w:tc>
      <w:tc>
        <w:tcPr>
          <w:tcW w:w="4788" w:type="dxa"/>
          <w:tcBorders/>
        </w:tcPr>
        <w:p>
          <w:pPr>
            <w:pStyle w:val="Normal"/>
            <w:tabs>
              <w:tab w:val="clear" w:pos="720"/>
              <w:tab w:val="left" w:pos="2412" w:leader="none"/>
            </w:tabs>
            <w:ind w:start="1062" w:end="-720"/>
            <w:rPr>
              <w:b/>
              <w:sz w:val="20"/>
            </w:rPr>
          </w:pPr>
          <w:r>
            <w:rPr>
              <w:b/>
              <w:sz w:val="20"/>
            </w:rPr>
            <w:t>Enron North America Corp.</w:t>
          </w:r>
        </w:p>
        <w:p>
          <w:pPr>
            <w:pStyle w:val="Heading6"/>
            <w:rPr/>
          </w:pPr>
          <w:r>
            <w:rPr/>
            <w:t>P.O. Box 4428</w:t>
          </w:r>
        </w:p>
        <w:p>
          <w:pPr>
            <w:pStyle w:val="Normal"/>
            <w:tabs>
              <w:tab w:val="clear" w:pos="720"/>
              <w:tab w:val="left" w:pos="2412" w:leader="none"/>
            </w:tabs>
            <w:ind w:start="1062" w:end="-720"/>
            <w:rPr>
              <w:i/>
              <w:i/>
              <w:sz w:val="20"/>
            </w:rPr>
          </w:pPr>
          <w:r>
            <w:rPr>
              <w:i/>
              <w:sz w:val="20"/>
            </w:rPr>
            <w:t>Houston, TX  77210-4428</w:t>
          </w:r>
        </w:p>
        <w:p>
          <w:pPr>
            <w:pStyle w:val="Normal"/>
            <w:tabs>
              <w:tab w:val="clear" w:pos="720"/>
              <w:tab w:val="left" w:pos="2412" w:leader="none"/>
            </w:tabs>
            <w:ind w:start="1062" w:end="-720"/>
            <w:rPr>
              <w:i/>
              <w:i/>
              <w:sz w:val="20"/>
            </w:rPr>
          </w:pPr>
          <w:r>
            <w:rPr>
              <w:i/>
              <w:sz w:val="20"/>
            </w:rPr>
            <w:t>Phone (713) 853-3300</w:t>
          </w:r>
        </w:p>
        <w:p>
          <w:pPr>
            <w:pStyle w:val="Heading1"/>
            <w:tabs>
              <w:tab w:val="left" w:pos="1872" w:leader="none"/>
              <w:tab w:val="left" w:pos="2412" w:leader="none"/>
            </w:tabs>
            <w:ind w:start="1062" w:end="-720"/>
            <w:rPr>
              <w:sz w:val="20"/>
            </w:rPr>
          </w:pPr>
          <w:r>
            <w:rPr>
              <w:sz w:val="20"/>
            </w:rPr>
            <w:t>Fax (713) 646-4816</w:t>
          </w:r>
        </w:p>
      </w:tc>
    </w:tr>
  </w:tbl>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tabs>
        <w:tab w:val="clear" w:pos="720"/>
        <w:tab w:val="left" w:pos="2412" w:leader="none"/>
      </w:tabs>
      <w:ind w:hanging="0" w:start="1962" w:end="0"/>
      <w:outlineLvl w:val="0"/>
    </w:pPr>
    <w:rPr>
      <w:i/>
      <w:sz w:val="22"/>
    </w:rPr>
  </w:style>
  <w:style w:type="paragraph" w:styleId="Heading2">
    <w:name w:val="heading 2"/>
    <w:basedOn w:val="Normal"/>
    <w:next w:val="Normal"/>
    <w:qFormat/>
    <w:pPr>
      <w:keepNext w:val="true"/>
      <w:numPr>
        <w:ilvl w:val="1"/>
        <w:numId w:val="1"/>
      </w:numPr>
      <w:outlineLvl w:val="1"/>
    </w:pPr>
    <w:rPr>
      <w:b/>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paragraph" w:styleId="Heading4">
    <w:name w:val="heading 4"/>
    <w:basedOn w:val="Normal"/>
    <w:next w:val="Normal"/>
    <w:qFormat/>
    <w:pPr>
      <w:keepNext w:val="true"/>
      <w:numPr>
        <w:ilvl w:val="3"/>
        <w:numId w:val="1"/>
      </w:numPr>
      <w:tabs>
        <w:tab w:val="clear" w:pos="720"/>
        <w:tab w:val="left" w:pos="252" w:leader="none"/>
        <w:tab w:val="left" w:pos="972" w:leader="none"/>
        <w:tab w:val="left" w:pos="3132" w:leader="none"/>
      </w:tabs>
      <w:jc w:val="both"/>
      <w:outlineLvl w:val="3"/>
    </w:pPr>
    <w:rPr>
      <w:b/>
      <w:bCs/>
      <w:sz w:val="20"/>
    </w:rPr>
  </w:style>
  <w:style w:type="paragraph" w:styleId="Heading5">
    <w:name w:val="heading 5"/>
    <w:basedOn w:val="Normal"/>
    <w:next w:val="Normal"/>
    <w:qFormat/>
    <w:pPr>
      <w:keepNext w:val="true"/>
      <w:numPr>
        <w:ilvl w:val="4"/>
        <w:numId w:val="1"/>
      </w:numPr>
      <w:jc w:val="center"/>
      <w:outlineLvl w:val="4"/>
    </w:pPr>
    <w:rPr>
      <w:b/>
      <w:bCs/>
      <w:sz w:val="20"/>
    </w:rPr>
  </w:style>
  <w:style w:type="paragraph" w:styleId="Heading6">
    <w:name w:val="heading 6"/>
    <w:basedOn w:val="Normal"/>
    <w:next w:val="Normal"/>
    <w:qFormat/>
    <w:pPr>
      <w:keepNext w:val="true"/>
      <w:numPr>
        <w:ilvl w:val="5"/>
        <w:numId w:val="1"/>
      </w:numPr>
      <w:tabs>
        <w:tab w:val="clear" w:pos="720"/>
        <w:tab w:val="left" w:pos="2412" w:leader="none"/>
      </w:tabs>
      <w:ind w:hanging="0" w:start="1062" w:end="-720"/>
      <w:outlineLvl w:val="5"/>
    </w:pPr>
    <w:rPr>
      <w:i/>
      <w:sz w:val="20"/>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ind w:hanging="0" w:start="720" w:end="0"/>
      <w:jc w:val="both"/>
    </w:pPr>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129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2001-05-01T09:49:00Z</dcterms:created>
  <dc:creator>ECT</dc:creator>
  <dc:description/>
  <dc:language>en-CA</dc:language>
  <cp:lastModifiedBy>dhyvl</cp:lastModifiedBy>
  <cp:lastPrinted>2001-05-01T09:33:00Z</cp:lastPrinted>
  <dcterms:modified xsi:type="dcterms:W3CDTF">2001-05-01T12:04:00Z</dcterms:modified>
  <cp:revision>4</cp:revision>
  <dc:subject>El Paso Merchant Energy, L.P.</dc:subject>
  <dc:title>QL7588.1</dc:title>
</cp:coreProperties>
</file>