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1.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r>
    </w:p>
    <w:p>
      <w:pPr>
        <w:pStyle w:val="Normal"/>
        <w:jc w:val="center"/>
        <w:rPr>
          <w:sz w:val="20"/>
        </w:rPr>
      </w:pPr>
      <w:r>
        <w:rPr>
          <w:sz w:val="20"/>
        </w:rPr>
        <w:t>April 11, 2001</w:t>
      </w:r>
    </w:p>
    <w:p>
      <w:pPr>
        <w:pStyle w:val="Normal"/>
        <w:jc w:val="center"/>
        <w:rPr>
          <w:sz w:val="20"/>
        </w:rPr>
      </w:pPr>
      <w:r>
        <w:rPr>
          <w:sz w:val="20"/>
        </w:rPr>
      </w:r>
    </w:p>
    <w:p>
      <w:pPr>
        <w:pStyle w:val="Normal"/>
        <w:jc w:val="center"/>
        <w:rPr>
          <w:sz w:val="20"/>
        </w:rPr>
      </w:pPr>
      <w:r>
        <w:rPr>
          <w:sz w:val="20"/>
        </w:rPr>
      </w:r>
    </w:p>
    <w:p>
      <w:pPr>
        <w:pStyle w:val="Header"/>
        <w:tabs>
          <w:tab w:val="clear" w:pos="4320"/>
          <w:tab w:val="clear" w:pos="8640"/>
        </w:tabs>
        <w:rPr>
          <w:sz w:val="20"/>
        </w:rPr>
      </w:pPr>
      <w:r>
        <w:rPr>
          <w:sz w:val="20"/>
        </w:rPr>
        <w:t>Eastern New Mexico Natural Gas Association, Inc.</w:t>
      </w:r>
    </w:p>
    <w:p>
      <w:pPr>
        <w:pStyle w:val="Header"/>
        <w:tabs>
          <w:tab w:val="clear" w:pos="4320"/>
          <w:tab w:val="clear" w:pos="8640"/>
        </w:tabs>
        <w:rPr>
          <w:sz w:val="20"/>
        </w:rPr>
      </w:pPr>
      <w:r>
        <w:rPr>
          <w:sz w:val="20"/>
        </w:rPr>
        <w:t>P. O. box 428</w:t>
      </w:r>
    </w:p>
    <w:p>
      <w:pPr>
        <w:pStyle w:val="Header"/>
        <w:tabs>
          <w:tab w:val="clear" w:pos="4320"/>
          <w:tab w:val="clear" w:pos="8640"/>
        </w:tabs>
        <w:rPr>
          <w:sz w:val="20"/>
        </w:rPr>
      </w:pPr>
      <w:r>
        <w:rPr>
          <w:sz w:val="20"/>
        </w:rPr>
        <w:t>Fort Sumner, New Mexico  88119</w:t>
      </w:r>
    </w:p>
    <w:p>
      <w:pPr>
        <w:pStyle w:val="Normal"/>
        <w:rPr>
          <w:sz w:val="20"/>
        </w:rPr>
      </w:pPr>
      <w:r>
        <w:rPr>
          <w:sz w:val="20"/>
        </w:rPr>
      </w:r>
    </w:p>
    <w:p>
      <w:pPr>
        <w:pStyle w:val="Normal"/>
        <w:numPr>
          <w:ilvl w:val="0"/>
          <w:numId w:val="0"/>
        </w:numPr>
        <w:outlineLvl w:val="0"/>
        <w:rPr>
          <w:sz w:val="20"/>
        </w:rPr>
      </w:pPr>
      <w:r>
        <w:rPr>
          <w:sz w:val="20"/>
        </w:rPr>
        <w:t>Attn:  Mr. John Mattics, Manager</w:t>
      </w:r>
    </w:p>
    <w:p>
      <w:pPr>
        <w:pStyle w:val="Normal"/>
        <w:rPr>
          <w:sz w:val="20"/>
        </w:rPr>
      </w:pPr>
      <w:r>
        <w:rPr>
          <w:sz w:val="20"/>
        </w:rPr>
        <w:t>Fax No.:  (505) 355-2468</w:t>
      </w:r>
    </w:p>
    <w:p>
      <w:pPr>
        <w:pStyle w:val="Normal"/>
        <w:rPr>
          <w:sz w:val="20"/>
        </w:rPr>
      </w:pPr>
      <w:r>
        <w:rPr>
          <w:sz w:val="20"/>
        </w:rPr>
        <w:t>Trans. No.:  ___________</w:t>
      </w:r>
    </w:p>
    <w:p>
      <w:pPr>
        <w:pStyle w:val="Normal"/>
        <w:rPr>
          <w:sz w:val="20"/>
        </w:rPr>
      </w:pPr>
      <w:r>
        <w:rPr>
          <w:sz w:val="20"/>
        </w:rPr>
      </w:r>
    </w:p>
    <w:p>
      <w:pPr>
        <w:pStyle w:val="Normal"/>
        <w:rPr>
          <w:sz w:val="20"/>
        </w:rPr>
      </w:pPr>
      <w:r>
        <w:rPr>
          <w:sz w:val="20"/>
        </w:rPr>
      </w:r>
    </w:p>
    <w:p>
      <w:pPr>
        <w:pStyle w:val="Normal"/>
        <w:numPr>
          <w:ilvl w:val="0"/>
          <w:numId w:val="0"/>
        </w:numPr>
        <w:jc w:val="center"/>
        <w:outlineLvl w:val="0"/>
        <w:rPr>
          <w:sz w:val="20"/>
        </w:rPr>
      </w:pPr>
      <w:r>
        <w:rPr>
          <w:sz w:val="20"/>
        </w:rPr>
        <w:t>TRANSACTION AGREEMENT</w:t>
      </w:r>
    </w:p>
    <w:p>
      <w:pPr>
        <w:pStyle w:val="Normal"/>
        <w:jc w:val="center"/>
        <w:rPr>
          <w:sz w:val="20"/>
        </w:rPr>
      </w:pPr>
      <w:r>
        <w:rPr>
          <w:sz w:val="20"/>
        </w:rPr>
      </w:r>
    </w:p>
    <w:p>
      <w:pPr>
        <w:pStyle w:val="Normal"/>
        <w:jc w:val="both"/>
        <w:rPr/>
      </w:pPr>
      <w:r>
        <w:rPr>
          <w:sz w:val="20"/>
        </w:rPr>
        <w:t xml:space="preserve">This Transaction Agreement shall form and effectuate the agreement between Eastern New Mexico Natural Gas Association, Inc. ("Customer") and </w:t>
      </w: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r>
        <w:rPr>
          <w:sz w:val="20"/>
        </w:rPr>
        <w:t xml:space="preserve"> ("</w:t>
      </w:r>
      <w:r>
        <w:rPr>
          <w:sz w:val="20"/>
        </w:rPr>
        <w:fldChar w:fldCharType="begin"/>
      </w:r>
      <w:r>
        <w:rPr>
          <w:sz w:val="20"/>
        </w:rPr>
        <w:instrText xml:space="preserve"> MERGEFIELD EnronEntityCode </w:instrText>
      </w:r>
      <w:r>
        <w:rPr>
          <w:sz w:val="20"/>
        </w:rPr>
        <w:fldChar w:fldCharType="separate"/>
      </w:r>
      <w:r>
        <w:rPr>
          <w:sz w:val="20"/>
        </w:rPr>
        <w:t>ENA</w:t>
      </w:r>
      <w:r>
        <w:rPr>
          <w:sz w:val="20"/>
        </w:rPr>
        <w:fldChar w:fldCharType="end"/>
      </w:r>
      <w:r>
        <w:rPr>
          <w:sz w:val="20"/>
        </w:rPr>
        <w:t xml:space="preserve">" and "Company")  regarding the firm  purchase and sale of Gas under the following terms and conditions. </w:t>
      </w:r>
      <w:r>
        <w:rPr>
          <w:sz w:val="20"/>
        </w:rPr>
        <w:fldChar w:fldCharType="begin"/>
      </w:r>
      <w:r>
        <w:rPr>
          <w:sz w:val="20"/>
        </w:rPr>
        <w:instrText xml:space="preserve"> MERGEFIELD Seller </w:instrText>
      </w:r>
      <w:r>
        <w:rPr>
          <w:sz w:val="20"/>
        </w:rPr>
        <w:fldChar w:fldCharType="separate"/>
      </w:r>
      <w:r>
        <w:rPr>
          <w:sz w:val="20"/>
        </w:rPr>
        <w:t>Customer</w:t>
      </w:r>
      <w:r>
        <w:rPr>
          <w:sz w:val="20"/>
        </w:rPr>
        <w:fldChar w:fldCharType="end"/>
      </w:r>
      <w:r>
        <w:rPr>
          <w:sz w:val="20"/>
        </w:rPr>
        <w:t xml:space="preserve"> to purchase and receive (“Buyer”) and </w:t>
      </w:r>
      <w:r>
        <w:rPr>
          <w:sz w:val="20"/>
        </w:rPr>
        <w:fldChar w:fldCharType="begin"/>
      </w:r>
      <w:r>
        <w:rPr>
          <w:sz w:val="20"/>
        </w:rPr>
        <w:instrText xml:space="preserve"> MERGEFIELD Buyer </w:instrText>
      </w:r>
      <w:r>
        <w:rPr>
          <w:sz w:val="20"/>
        </w:rPr>
        <w:fldChar w:fldCharType="separate"/>
      </w:r>
      <w:r>
        <w:rPr>
          <w:sz w:val="20"/>
        </w:rPr>
        <w:t>Company</w:t>
      </w:r>
      <w:r>
        <w:rPr>
          <w:sz w:val="20"/>
        </w:rPr>
        <w:fldChar w:fldCharType="end"/>
      </w:r>
      <w:r>
        <w:rPr>
          <w:sz w:val="20"/>
        </w:rPr>
        <w:t xml:space="preserve"> to sell and deliver (“Seller”).</w:t>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sz w:val="20"/>
              </w:rPr>
            </w:pPr>
            <w:r>
              <w:rPr>
                <w:b/>
                <w:sz w:val="20"/>
              </w:rPr>
              <w:t>DAILY CONTRACT QUANTITY (DCQ):</w:t>
            </w:r>
          </w:p>
        </w:tc>
        <w:tc>
          <w:tcPr>
            <w:tcW w:w="6228" w:type="dxa"/>
            <w:tcBorders/>
          </w:tcPr>
          <w:p>
            <w:pPr>
              <w:pStyle w:val="Normal"/>
              <w:snapToGrid w:val="false"/>
              <w:jc w:val="both"/>
              <w:rPr>
                <w:sz w:val="20"/>
              </w:rPr>
            </w:pPr>
            <w:r>
              <w:rPr>
                <w:sz w:val="20"/>
              </w:rPr>
            </w:r>
          </w:p>
          <w:p>
            <w:pPr>
              <w:pStyle w:val="Normal"/>
              <w:jc w:val="both"/>
              <w:rPr/>
            </w:pPr>
            <w:r>
              <w:rPr>
                <w:sz w:val="20"/>
              </w:rPr>
              <w:t xml:space="preserve">Buyer shall Schedule or cause to be Scheduled at the Delivery Point(s) on a firm basis each Gas Day 100% of the total quantity of Gas required by Buyer to meet its system supply and operating needs on such Gas Day including fuel retained by Buyer’s Transporter in transporting Gas to or for Buyer’s account.  Buyer further agrees not to purchase Gas from any entity other than Seller except to the extent one or more of the following events occur:  (i) Seller fails to meet its quantity obligation under </w:t>
            </w:r>
            <w:r>
              <w:rPr>
                <w:sz w:val="20"/>
                <w:u w:val="single"/>
              </w:rPr>
              <w:t>Section 3.1</w:t>
            </w:r>
            <w:r>
              <w:rPr>
                <w:sz w:val="20"/>
              </w:rPr>
              <w:t xml:space="preserve"> for any reason including </w:t>
            </w:r>
            <w:r>
              <w:rPr>
                <w:sz w:val="20"/>
                <w:u w:val="single"/>
              </w:rPr>
              <w:t>Force Majeure</w:t>
            </w:r>
            <w:r>
              <w:rPr>
                <w:sz w:val="20"/>
              </w:rPr>
              <w:t xml:space="preserve">; or (ii) Buyer is prevented from receiving Gas Scheduled by Buyer by an event of </w:t>
            </w:r>
            <w:r>
              <w:rPr>
                <w:sz w:val="20"/>
                <w:u w:val="single"/>
              </w:rPr>
              <w:t>Force Majeure</w:t>
            </w:r>
            <w:r>
              <w:rPr>
                <w:sz w:val="20"/>
              </w:rPr>
              <w:t>.  If a Transaction is based upon a Requirements Quantity Obligation, the foregoing shall be the MinDQ applicable for all purposes hereunder.</w:t>
            </w:r>
          </w:p>
          <w:p>
            <w:pPr>
              <w:pStyle w:val="Normal"/>
              <w:tabs>
                <w:tab w:val="clear" w:pos="720"/>
                <w:tab w:val="left" w:pos="252" w:leader="none"/>
                <w:tab w:val="left" w:pos="792" w:leader="none"/>
              </w:tabs>
              <w:jc w:val="both"/>
              <w:rPr/>
            </w:pPr>
            <w:r>
              <w:rPr>
                <w:sz w:val="20"/>
              </w:rPr>
              <w:tab/>
              <w:tab/>
            </w:r>
            <w:r>
              <w:rPr>
                <w:b/>
                <w:bCs/>
                <w:sz w:val="20"/>
              </w:rPr>
              <w:t>ESTIMATED DAILY QUANTITIES</w:t>
            </w:r>
          </w:p>
          <w:p>
            <w:pPr>
              <w:pStyle w:val="Heading4"/>
              <w:ind w:hanging="0" w:start="0"/>
              <w:rPr/>
            </w:pPr>
            <w:r>
              <w:rPr/>
              <w:tab/>
            </w:r>
            <w:r>
              <w:rPr>
                <w:u w:val="single"/>
              </w:rPr>
              <w:t>MONTH</w:t>
            </w:r>
            <w:r>
              <w:rPr/>
              <w:tab/>
            </w:r>
            <w:r>
              <w:rPr>
                <w:u w:val="single"/>
              </w:rPr>
              <w:t>MMBtu/Day</w:t>
            </w:r>
          </w:p>
          <w:p>
            <w:pPr>
              <w:pStyle w:val="Normal"/>
              <w:tabs>
                <w:tab w:val="clear" w:pos="720"/>
                <w:tab w:val="left" w:pos="252" w:leader="none"/>
                <w:tab w:val="left" w:pos="3402" w:leader="none"/>
              </w:tabs>
              <w:jc w:val="both"/>
              <w:rPr/>
            </w:pPr>
            <w:r>
              <w:rPr>
                <w:b/>
                <w:bCs/>
                <w:sz w:val="20"/>
              </w:rPr>
              <w:tab/>
            </w:r>
            <w:r>
              <w:rPr>
                <w:sz w:val="20"/>
              </w:rPr>
              <w:t>May</w:t>
              <w:tab/>
              <w:t>344</w:t>
            </w:r>
          </w:p>
          <w:p>
            <w:pPr>
              <w:pStyle w:val="Normal"/>
              <w:tabs>
                <w:tab w:val="clear" w:pos="720"/>
                <w:tab w:val="left" w:pos="252" w:leader="none"/>
                <w:tab w:val="left" w:pos="3402" w:leader="none"/>
              </w:tabs>
              <w:jc w:val="both"/>
              <w:rPr>
                <w:sz w:val="20"/>
              </w:rPr>
            </w:pPr>
            <w:r>
              <w:rPr>
                <w:sz w:val="20"/>
              </w:rPr>
              <w:tab/>
              <w:t>June</w:t>
              <w:tab/>
              <w:t>289</w:t>
            </w:r>
          </w:p>
          <w:p>
            <w:pPr>
              <w:pStyle w:val="Normal"/>
              <w:tabs>
                <w:tab w:val="clear" w:pos="720"/>
                <w:tab w:val="left" w:pos="252" w:leader="none"/>
                <w:tab w:val="left" w:pos="3402" w:leader="none"/>
              </w:tabs>
              <w:jc w:val="both"/>
              <w:rPr>
                <w:sz w:val="20"/>
              </w:rPr>
            </w:pPr>
            <w:r>
              <w:rPr>
                <w:sz w:val="20"/>
              </w:rPr>
              <w:tab/>
              <w:t>July</w:t>
              <w:tab/>
              <w:t>328</w:t>
            </w:r>
          </w:p>
          <w:p>
            <w:pPr>
              <w:pStyle w:val="Normal"/>
              <w:tabs>
                <w:tab w:val="clear" w:pos="720"/>
                <w:tab w:val="left" w:pos="252" w:leader="none"/>
                <w:tab w:val="left" w:pos="3402" w:leader="none"/>
              </w:tabs>
              <w:jc w:val="both"/>
              <w:rPr>
                <w:sz w:val="20"/>
              </w:rPr>
            </w:pPr>
            <w:r>
              <w:rPr>
                <w:sz w:val="20"/>
              </w:rPr>
              <w:tab/>
              <w:t>August</w:t>
              <w:tab/>
              <w:t>396</w:t>
            </w:r>
          </w:p>
          <w:p>
            <w:pPr>
              <w:pStyle w:val="Normal"/>
              <w:tabs>
                <w:tab w:val="clear" w:pos="720"/>
                <w:tab w:val="left" w:pos="252" w:leader="none"/>
                <w:tab w:val="left" w:pos="3402" w:leader="none"/>
              </w:tabs>
              <w:jc w:val="both"/>
              <w:rPr>
                <w:sz w:val="20"/>
              </w:rPr>
            </w:pPr>
            <w:r>
              <w:rPr>
                <w:sz w:val="20"/>
              </w:rPr>
              <w:tab/>
              <w:t>September</w:t>
              <w:tab/>
              <w:t>355</w:t>
            </w:r>
          </w:p>
          <w:p>
            <w:pPr>
              <w:pStyle w:val="Normal"/>
              <w:tabs>
                <w:tab w:val="clear" w:pos="720"/>
                <w:tab w:val="left" w:pos="252" w:leader="none"/>
                <w:tab w:val="left" w:pos="3402" w:leader="none"/>
              </w:tabs>
              <w:jc w:val="both"/>
              <w:rPr>
                <w:sz w:val="20"/>
              </w:rPr>
            </w:pPr>
            <w:r>
              <w:rPr>
                <w:sz w:val="20"/>
              </w:rPr>
              <w:tab/>
              <w:t>October</w:t>
              <w:tab/>
              <w:t>266</w:t>
            </w:r>
          </w:p>
          <w:p>
            <w:pPr>
              <w:pStyle w:val="Normal"/>
              <w:tabs>
                <w:tab w:val="clear" w:pos="720"/>
                <w:tab w:val="left" w:pos="252" w:leader="none"/>
                <w:tab w:val="left" w:pos="3402" w:leader="none"/>
              </w:tabs>
              <w:jc w:val="both"/>
              <w:rPr>
                <w:sz w:val="20"/>
              </w:rPr>
            </w:pPr>
            <w:r>
              <w:rPr>
                <w:sz w:val="20"/>
              </w:rPr>
              <w:tab/>
              <w:t>November</w:t>
              <w:tab/>
              <w:t>455</w:t>
            </w:r>
          </w:p>
          <w:p>
            <w:pPr>
              <w:pStyle w:val="Normal"/>
              <w:tabs>
                <w:tab w:val="clear" w:pos="720"/>
                <w:tab w:val="left" w:pos="252" w:leader="none"/>
                <w:tab w:val="left" w:pos="3402" w:leader="none"/>
              </w:tabs>
              <w:jc w:val="both"/>
              <w:rPr>
                <w:sz w:val="20"/>
              </w:rPr>
            </w:pPr>
            <w:r>
              <w:rPr>
                <w:sz w:val="20"/>
              </w:rPr>
              <w:tab/>
              <w:t>December</w:t>
              <w:tab/>
              <w:t>600</w:t>
            </w:r>
          </w:p>
          <w:p>
            <w:pPr>
              <w:pStyle w:val="Normal"/>
              <w:tabs>
                <w:tab w:val="clear" w:pos="720"/>
                <w:tab w:val="left" w:pos="252" w:leader="none"/>
                <w:tab w:val="left" w:pos="3402" w:leader="none"/>
              </w:tabs>
              <w:jc w:val="both"/>
              <w:rPr>
                <w:sz w:val="20"/>
              </w:rPr>
            </w:pPr>
            <w:r>
              <w:rPr>
                <w:sz w:val="20"/>
              </w:rPr>
              <w:tab/>
              <w:t>January</w:t>
              <w:tab/>
              <w:t>623</w:t>
            </w:r>
          </w:p>
          <w:p>
            <w:pPr>
              <w:pStyle w:val="Normal"/>
              <w:tabs>
                <w:tab w:val="clear" w:pos="720"/>
                <w:tab w:val="left" w:pos="252" w:leader="none"/>
                <w:tab w:val="left" w:pos="3402" w:leader="none"/>
              </w:tabs>
              <w:jc w:val="both"/>
              <w:rPr>
                <w:sz w:val="20"/>
              </w:rPr>
            </w:pPr>
            <w:r>
              <w:rPr>
                <w:sz w:val="20"/>
              </w:rPr>
              <w:tab/>
              <w:t>February</w:t>
              <w:tab/>
              <w:t>486</w:t>
            </w:r>
          </w:p>
          <w:p>
            <w:pPr>
              <w:pStyle w:val="Normal"/>
              <w:tabs>
                <w:tab w:val="clear" w:pos="720"/>
                <w:tab w:val="left" w:pos="252" w:leader="none"/>
                <w:tab w:val="left" w:pos="3402" w:leader="none"/>
              </w:tabs>
              <w:jc w:val="both"/>
              <w:rPr>
                <w:sz w:val="20"/>
              </w:rPr>
            </w:pPr>
            <w:r>
              <w:rPr>
                <w:sz w:val="20"/>
              </w:rPr>
              <w:tab/>
              <w:t>March</w:t>
              <w:tab/>
              <w:t>409</w:t>
            </w:r>
          </w:p>
          <w:p>
            <w:pPr>
              <w:pStyle w:val="Normal"/>
              <w:tabs>
                <w:tab w:val="clear" w:pos="720"/>
                <w:tab w:val="left" w:pos="252" w:leader="none"/>
                <w:tab w:val="left" w:pos="3402" w:leader="none"/>
              </w:tabs>
              <w:jc w:val="both"/>
              <w:rPr>
                <w:sz w:val="20"/>
              </w:rPr>
            </w:pPr>
            <w:r>
              <w:rPr>
                <w:sz w:val="20"/>
              </w:rPr>
              <w:tab/>
              <w:t>April</w:t>
              <w:tab/>
              <w:t>407</w:t>
            </w:r>
          </w:p>
          <w:p>
            <w:pPr>
              <w:pStyle w:val="Normal"/>
              <w:tabs>
                <w:tab w:val="clear" w:pos="720"/>
                <w:tab w:val="left" w:pos="252" w:leader="none"/>
                <w:tab w:val="left" w:pos="3402" w:leader="none"/>
              </w:tabs>
              <w:jc w:val="both"/>
              <w:rPr>
                <w:sz w:val="20"/>
              </w:rPr>
            </w:pPr>
            <w:r>
              <w:rPr>
                <w:sz w:val="20"/>
              </w:rPr>
              <w:t>Estimated Daily Quantities are for informational purposes only and do not reflect any quantity obligations between the parties.  If a Strike Price is triggered for any volumes for any Delivery Month, such volumes shall be the DCQ for such month and shall be the first Gas taken by Buyer each Day during such Month.</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r>
        <w:trPr/>
        <w:tc>
          <w:tcPr>
            <w:tcW w:w="3348" w:type="dxa"/>
            <w:tcBorders/>
          </w:tcPr>
          <w:p>
            <w:pPr>
              <w:pStyle w:val="Normal"/>
              <w:rPr>
                <w:sz w:val="20"/>
              </w:rPr>
            </w:pPr>
            <w:r>
              <w:rPr>
                <w:b/>
                <w:sz w:val="20"/>
              </w:rPr>
              <w:t>DELIVERY POINT:</w:t>
            </w:r>
          </w:p>
        </w:tc>
        <w:tc>
          <w:tcPr>
            <w:tcW w:w="6228" w:type="dxa"/>
            <w:tcBorders/>
          </w:tcPr>
          <w:p>
            <w:pPr>
              <w:pStyle w:val="Normal"/>
              <w:jc w:val="both"/>
              <w:rPr>
                <w:sz w:val="20"/>
              </w:rPr>
            </w:pPr>
            <w:r>
              <w:rPr>
                <w:sz w:val="20"/>
              </w:rPr>
              <w:t>Transwestern Pipeline Company, East of Thoreau</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r>
        <w:trPr/>
        <w:tc>
          <w:tcPr>
            <w:tcW w:w="3348" w:type="dxa"/>
            <w:tcBorders/>
          </w:tcPr>
          <w:p>
            <w:pPr>
              <w:pStyle w:val="Normal"/>
              <w:rPr>
                <w:sz w:val="20"/>
              </w:rPr>
            </w:pPr>
            <w:r>
              <w:rPr>
                <w:b/>
                <w:sz w:val="20"/>
              </w:rPr>
              <w:t>PERIOD OF DELIVERY:</w:t>
            </w:r>
          </w:p>
        </w:tc>
        <w:tc>
          <w:tcPr>
            <w:tcW w:w="6228" w:type="dxa"/>
            <w:tcBorders/>
          </w:tcPr>
          <w:p>
            <w:pPr>
              <w:pStyle w:val="Normal"/>
              <w:jc w:val="both"/>
              <w:rPr>
                <w:sz w:val="20"/>
              </w:rPr>
            </w:pPr>
            <w:r>
              <w:rPr>
                <w:sz w:val="20"/>
              </w:rPr>
              <w:t>May 1, 2001 through April 30, 2005</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r>
        <w:trPr/>
        <w:tc>
          <w:tcPr>
            <w:tcW w:w="3348" w:type="dxa"/>
            <w:tcBorders/>
          </w:tcPr>
          <w:p>
            <w:pPr>
              <w:pStyle w:val="Normal"/>
              <w:rPr>
                <w:b/>
                <w:sz w:val="20"/>
              </w:rPr>
            </w:pPr>
            <w:r>
              <w:rPr>
                <w:b/>
                <w:sz w:val="20"/>
              </w:rPr>
              <w:t xml:space="preserve">CONTRACT PRICE </w:t>
            </w:r>
          </w:p>
          <w:p>
            <w:pPr>
              <w:pStyle w:val="Normal"/>
              <w:rPr>
                <w:sz w:val="20"/>
              </w:rPr>
            </w:pPr>
            <w:r>
              <w:rPr>
                <w:b/>
                <w:sz w:val="20"/>
              </w:rPr>
              <w:t>(PER MMBTU):</w:t>
            </w:r>
          </w:p>
        </w:tc>
        <w:tc>
          <w:tcPr>
            <w:tcW w:w="6228" w:type="dxa"/>
            <w:tcBorders/>
          </w:tcPr>
          <w:p>
            <w:pPr>
              <w:pStyle w:val="Normal"/>
              <w:snapToGrid w:val="false"/>
              <w:jc w:val="both"/>
              <w:rPr>
                <w:sz w:val="20"/>
              </w:rPr>
            </w:pPr>
            <w:r>
              <w:rPr>
                <w:sz w:val="20"/>
              </w:rPr>
            </w:r>
          </w:p>
          <w:p>
            <w:pPr>
              <w:pStyle w:val="Normal"/>
              <w:jc w:val="both"/>
              <w:rPr>
                <w:sz w:val="20"/>
              </w:rPr>
            </w:pPr>
            <w:r>
              <w:rPr>
                <w:sz w:val="20"/>
              </w:rPr>
              <w:t>1.  The Contract Price per MMBtu each Month during the Period of Delivery for all quantities of Gas shall be the sum of (i) the “Index Price”, (ii) twelve cents ($0.12), and (iii) the Transwestern transport cost “as-billed” by Transwestern Pipeline Company.  The term “Index Price” means the “Index Price” published in Inside F.E.R.C.’s Gas Market Report for Transwestern Pipeline Company, Permian Basin, as listed in the table entitled “Prices of Spot Gas Delivered to Pipelines” in the first-of-the-month issue of such publication for each Month during the Period of Delivery, or a price agreed to by the parties prior to the NYMEX Deadline of the applicable Delivery Month (the “Strike Price”).  The term “NYMEX Deadline” means 12:00 p.m. C.T. on the last Trading Day of the NYMEX Gas futures contract for the applicable Delivery Month.</w:t>
            </w:r>
          </w:p>
          <w:p>
            <w:pPr>
              <w:pStyle w:val="Normal"/>
              <w:jc w:val="both"/>
              <w:rPr/>
            </w:pPr>
            <w:r>
              <w:rPr>
                <w:sz w:val="20"/>
              </w:rPr>
              <w:t xml:space="preserve">2.  RIGHT TO DESIGNATE A STRIKE PRICE.  Customer may request a Strike Price by contacting Company,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Company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 as available, each Strike Price Election Notice shall form a part of the Master Agreement for all purposes.  Section 5.1, </w:t>
            </w:r>
            <w:r>
              <w:rPr>
                <w:sz w:val="20"/>
                <w:u w:val="single"/>
              </w:rPr>
              <w:t>Confirmation Letter Procedure</w:t>
            </w:r>
            <w:r>
              <w:rPr>
                <w:sz w:val="20"/>
              </w:rPr>
              <w:t>, of the Master Agreement is hereby amended for purposes of the Transaction evidenced by this Confirmation Letter in accordance with the provisions hereof insofar as it applies to any Strike Price Election Notice.  The Parties agree not to contest or assert a defense to the validity or enforceability of any Recorded Agreement entered into in accordance herewith under laws relating to whether certain agreements are to be in writing or signed by a Party to be thereby bound or the authority of any employee to enter into the Recorded Agreement.  A Strike Price may not be converted to another price during the Delivery Month for which it has been elected.</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bl>
    <w:p>
      <w:pPr>
        <w:pStyle w:val="Normal"/>
        <w:tabs>
          <w:tab w:val="clear" w:pos="720"/>
          <w:tab w:val="left" w:pos="3330" w:leader="none"/>
        </w:tabs>
        <w:ind w:hanging="3330" w:start="3330" w:end="0"/>
        <w:jc w:val="both"/>
        <w:rPr/>
      </w:pPr>
      <w:r>
        <w:rPr>
          <w:b/>
          <w:bCs/>
          <w:sz w:val="20"/>
        </w:rPr>
        <w:t>SPOT PRICE LOCATION:</w:t>
        <w:tab/>
      </w:r>
      <w:r>
        <w:rPr>
          <w:sz w:val="20"/>
        </w:rPr>
        <w:t>Permian Basin Area – Transwestern (WTx)</w:t>
      </w:r>
    </w:p>
    <w:p>
      <w:pPr>
        <w:pStyle w:val="Normal"/>
        <w:rPr>
          <w:b/>
          <w:bCs/>
          <w:sz w:val="20"/>
        </w:rPr>
      </w:pPr>
      <w:r>
        <w:rPr>
          <w:b/>
          <w:bCs/>
          <w:sz w:val="20"/>
        </w:rPr>
      </w:r>
    </w:p>
    <w:p>
      <w:pPr>
        <w:pStyle w:val="Normal"/>
        <w:tabs>
          <w:tab w:val="clear" w:pos="720"/>
          <w:tab w:val="left" w:pos="3330" w:leader="none"/>
        </w:tabs>
        <w:ind w:hanging="3330" w:start="3330" w:end="0"/>
        <w:jc w:val="both"/>
        <w:rPr/>
      </w:pPr>
      <w:r>
        <w:rPr>
          <w:b/>
          <w:bCs/>
          <w:sz w:val="20"/>
        </w:rPr>
        <w:t>OTHER:</w:t>
        <w:tab/>
      </w:r>
      <w:r>
        <w:rPr>
          <w:sz w:val="20"/>
        </w:rPr>
        <w:t>Customer and Company acknowledge that Customer will negotiate and finalize its transportation agreement (the “Transportation Contract”) with Transwestern Pipeline Company (“Transwestern”) that will allow Gas provided by Company to be transported to Customer.  Pursuant to this Transaction Agreement, Company shall manage the Transportation Contract, and be responsible for all nominations, balancing and payment of invoices, which invoiced amounts shall be included in the amounts billed to Customer pursuant to (iii) of Part 1 of the Contract Price.</w:t>
      </w:r>
    </w:p>
    <w:p>
      <w:pPr>
        <w:pStyle w:val="Normal"/>
        <w:tabs>
          <w:tab w:val="clear" w:pos="720"/>
          <w:tab w:val="left" w:pos="3330" w:leader="none"/>
        </w:tabs>
        <w:ind w:hanging="3330" w:start="3330" w:end="0"/>
        <w:jc w:val="both"/>
        <w:rPr>
          <w:sz w:val="20"/>
        </w:rPr>
      </w:pPr>
      <w:r>
        <w:rPr>
          <w:b/>
          <w:bCs/>
          <w:sz w:val="20"/>
        </w:rPr>
        <w:tab/>
        <w:tab/>
        <w:tab/>
      </w:r>
    </w:p>
    <w:p>
      <w:pPr>
        <w:pStyle w:val="Normal"/>
        <w:jc w:val="both"/>
        <w:rPr>
          <w:sz w:val="20"/>
        </w:rPr>
      </w:pPr>
      <w:r>
        <w:rPr>
          <w:sz w:val="20"/>
        </w:rPr>
        <w:t>This Transaction Agreement is being provided pursuant to and in accordance with the ENFOLIO Master Firm Purchase/Sales Agreement (the “Master Agreement”) dated effective as of May 1, 1997 between Customer and Company (formerly known as Enron Capital &amp; Trade Resources Corp.), and constitutes part of and is subject to all of the terms and provisions of such Master Agreement.  All capitalized terms herein used, but not defined, shall have the meanings set forth in the Master Agreement.  Any objection of Customer to this Transaction Agreement must be made by written notice to Company prior to the Confirm Deadline, as agreed and defined in the Master Agreement.</w:t>
      </w:r>
    </w:p>
    <w:p>
      <w:pPr>
        <w:pStyle w:val="Normal"/>
        <w:jc w:val="both"/>
        <w:rPr>
          <w:sz w:val="20"/>
        </w:rPr>
      </w:pPr>
      <w:r>
        <w:rPr>
          <w:sz w:val="20"/>
        </w:rPr>
      </w:r>
    </w:p>
    <w:p>
      <w:pPr>
        <w:pStyle w:val="Normal"/>
        <w:jc w:val="both"/>
        <w:rPr>
          <w:sz w:val="20"/>
        </w:rPr>
      </w:pPr>
      <w:r>
        <w:rPr>
          <w:sz w:val="20"/>
        </w:rPr>
        <w:t>Please confirm that the terms stated herein accurately reflect the agreement reached between Customer and Company by returning an executed copy of this Transaction Agreemetn to Company.</w:t>
      </w:r>
    </w:p>
    <w:p>
      <w:pPr>
        <w:pStyle w:val="Normal"/>
        <w:rPr>
          <w:sz w:val="20"/>
        </w:rPr>
      </w:pPr>
      <w:r>
        <w:rPr>
          <w:sz w:val="20"/>
        </w:rPr>
      </w:r>
    </w:p>
    <w:p>
      <w:pPr>
        <w:pStyle w:val="Normal"/>
        <w:rPr>
          <w:sz w:val="20"/>
        </w:rPr>
      </w:pPr>
      <w:r>
        <w:rPr>
          <w:sz w:val="20"/>
        </w:rPr>
      </w:r>
    </w:p>
    <w:p>
      <w:pPr>
        <w:pStyle w:val="Heading2"/>
        <w:ind w:hanging="0" w:start="0"/>
        <w:rPr>
          <w:bCs/>
          <w:sz w:val="19"/>
        </w:rPr>
      </w:pPr>
      <w:r>
        <w:rPr>
          <w:bCs/>
          <w:sz w:val="19"/>
        </w:rPr>
        <w:t>EASTERN NEW MEXICO NATURAL GAS ASSOCIATION, INC.</w:t>
        <w:tab/>
        <w:t>ENRON NORTH AMERICA CORP.</w:t>
      </w:r>
    </w:p>
    <w:p>
      <w:pPr>
        <w:pStyle w:val="Normal"/>
        <w:rPr>
          <w:bCs/>
          <w:sz w:val="20"/>
        </w:rPr>
      </w:pPr>
      <w:r>
        <w:rPr>
          <w:bCs/>
          <w:sz w:val="20"/>
        </w:rPr>
      </w:r>
    </w:p>
    <w:p>
      <w:pPr>
        <w:pStyle w:val="Heading2"/>
        <w:ind w:hanging="0" w:start="0"/>
        <w:rPr>
          <w:sz w:val="20"/>
        </w:rPr>
      </w:pPr>
      <w:r>
        <w:rPr>
          <w:sz w:val="20"/>
        </w:rPr>
      </w:r>
    </w:p>
    <w:p>
      <w:pPr>
        <w:pStyle w:val="Normal"/>
        <w:rPr>
          <w:sz w:val="20"/>
        </w:rPr>
      </w:pPr>
      <w:r>
        <w:rPr>
          <w:sz w:val="20"/>
        </w:rPr>
        <w:t>By: _________________________________</w:t>
        <w:tab/>
        <w:tab/>
        <w:tab/>
        <w:t>By: ____________________________</w:t>
      </w:r>
    </w:p>
    <w:p>
      <w:pPr>
        <w:pStyle w:val="Normal"/>
        <w:rPr>
          <w:sz w:val="20"/>
        </w:rPr>
      </w:pPr>
      <w:r>
        <w:rPr>
          <w:sz w:val="20"/>
        </w:rPr>
        <w:t>Title ________________________________</w:t>
        <w:tab/>
        <w:tab/>
        <w:tab/>
        <w:t>Title ___________________________</w:t>
      </w:r>
    </w:p>
    <w:p>
      <w:pPr>
        <w:pStyle w:val="Normal"/>
        <w:rPr>
          <w:sz w:val="20"/>
        </w:rPr>
      </w:pPr>
      <w:r>
        <w:rPr>
          <w:sz w:val="20"/>
        </w:rPr>
        <w:t>Date________________________________</w:t>
        <w:tab/>
        <w:tab/>
        <w:tab/>
        <w:t>Date___________________________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5"/>
        <w:ind w:hanging="0" w:start="0"/>
        <w:rPr/>
      </w:pPr>
      <w:r>
        <w:rPr/>
        <w:t>ANNEX “A”</w:t>
      </w:r>
    </w:p>
    <w:p>
      <w:pPr>
        <w:pStyle w:val="Normal"/>
        <w:jc w:val="center"/>
        <w:rPr>
          <w:b/>
          <w:bCs/>
          <w:sz w:val="20"/>
        </w:rPr>
      </w:pPr>
      <w:r>
        <w:rPr>
          <w:b/>
          <w:bCs/>
          <w:sz w:val="20"/>
        </w:rPr>
        <w:t>_______________________</w:t>
      </w:r>
    </w:p>
    <w:p>
      <w:pPr>
        <w:pStyle w:val="Normal"/>
        <w:jc w:val="center"/>
        <w:rPr>
          <w:b/>
          <w:bCs/>
          <w:sz w:val="20"/>
        </w:rPr>
      </w:pPr>
      <w:r>
        <w:rPr>
          <w:b/>
          <w:bCs/>
          <w:sz w:val="20"/>
        </w:rPr>
        <w:t>EXAMPLE FORM OF</w:t>
      </w:r>
    </w:p>
    <w:p>
      <w:pPr>
        <w:pStyle w:val="Normal"/>
        <w:jc w:val="center"/>
        <w:rPr>
          <w:b/>
          <w:bCs/>
          <w:sz w:val="20"/>
        </w:rPr>
      </w:pPr>
      <w:r>
        <w:rPr>
          <w:b/>
          <w:bCs/>
          <w:sz w:val="20"/>
        </w:rPr>
        <w:t>STRIKE PRICE ELECTION NOTICE</w:t>
      </w:r>
    </w:p>
    <w:p>
      <w:pPr>
        <w:pStyle w:val="Normal"/>
        <w:jc w:val="center"/>
        <w:rPr>
          <w:b/>
          <w:bCs/>
          <w:sz w:val="20"/>
        </w:rPr>
      </w:pPr>
      <w:r>
        <w:rPr>
          <w:b/>
          <w:bCs/>
          <w:sz w:val="20"/>
        </w:rPr>
      </w:r>
    </w:p>
    <w:p>
      <w:pPr>
        <w:pStyle w:val="Normal"/>
        <w:jc w:val="center"/>
        <w:rPr>
          <w:b/>
          <w:bCs/>
          <w:sz w:val="20"/>
        </w:rPr>
      </w:pPr>
      <w:r>
        <w:rPr>
          <w:b/>
          <w:bCs/>
          <w:sz w:val="20"/>
        </w:rPr>
      </w:r>
    </w:p>
    <w:p>
      <w:pPr>
        <w:pStyle w:val="Normal"/>
        <w:jc w:val="both"/>
        <w:rPr>
          <w:sz w:val="20"/>
        </w:rPr>
      </w:pPr>
      <w:r>
        <w:rPr>
          <w:sz w:val="20"/>
        </w:rPr>
        <w:t>TO:</w:t>
        <w:tab/>
        <w:t>Eastern New Mexico Natural Gas Association, Inc.</w:t>
      </w:r>
    </w:p>
    <w:p>
      <w:pPr>
        <w:pStyle w:val="Normal"/>
        <w:jc w:val="both"/>
        <w:rPr>
          <w:sz w:val="20"/>
        </w:rPr>
      </w:pPr>
      <w:r>
        <w:rPr>
          <w:sz w:val="20"/>
        </w:rPr>
        <w:tab/>
        <w:t>P. O. Box 428</w:t>
      </w:r>
    </w:p>
    <w:p>
      <w:pPr>
        <w:pStyle w:val="Normal"/>
        <w:jc w:val="both"/>
        <w:rPr>
          <w:sz w:val="20"/>
        </w:rPr>
      </w:pPr>
      <w:r>
        <w:rPr>
          <w:sz w:val="20"/>
        </w:rPr>
        <w:tab/>
        <w:t>Fort Sumner, New Mexico  88119</w:t>
      </w:r>
    </w:p>
    <w:p>
      <w:pPr>
        <w:pStyle w:val="Normal"/>
        <w:jc w:val="both"/>
        <w:rPr>
          <w:sz w:val="20"/>
        </w:rPr>
      </w:pPr>
      <w:r>
        <w:rPr>
          <w:sz w:val="20"/>
        </w:rPr>
        <w:tab/>
        <w:t>Attn:  Mr. John Mattics</w:t>
      </w:r>
    </w:p>
    <w:p>
      <w:pPr>
        <w:pStyle w:val="Normal"/>
        <w:jc w:val="both"/>
        <w:rPr>
          <w:sz w:val="20"/>
        </w:rPr>
      </w:pPr>
      <w:r>
        <w:rPr>
          <w:sz w:val="20"/>
        </w:rPr>
      </w:r>
    </w:p>
    <w:p>
      <w:pPr>
        <w:pStyle w:val="Normal"/>
        <w:jc w:val="both"/>
        <w:rPr>
          <w:sz w:val="20"/>
        </w:rPr>
      </w:pPr>
      <w:r>
        <w:rPr>
          <w:sz w:val="20"/>
        </w:rPr>
        <w:tab/>
        <w:t>RE:</w:t>
        <w:tab/>
        <w:t>STRIKE PRICE ELECTION NOTICE</w:t>
      </w:r>
    </w:p>
    <w:p>
      <w:pPr>
        <w:pStyle w:val="Normal"/>
        <w:jc w:val="both"/>
        <w:rPr>
          <w:sz w:val="20"/>
        </w:rPr>
      </w:pPr>
      <w:r>
        <w:rPr>
          <w:sz w:val="20"/>
        </w:rPr>
      </w:r>
    </w:p>
    <w:p>
      <w:pPr>
        <w:pStyle w:val="Normal"/>
        <w:jc w:val="both"/>
        <w:rPr>
          <w:sz w:val="20"/>
        </w:rPr>
      </w:pPr>
      <w:r>
        <w:rPr>
          <w:sz w:val="20"/>
        </w:rPr>
        <w:tab/>
        <w:t>In accordance with the terms and conditions of the Master Firm Purchase/Sale Agreement dated May 1, 1997, and the Transaction Agreement dated April 11, 2001, Eastern New Mexico Natural Gas Association, Inc. (“Buyr”) and Enron North America Corp. (“Seller”) confirm a Strike Price in accordance with the following:</w:t>
      </w:r>
    </w:p>
    <w:p>
      <w:pPr>
        <w:pStyle w:val="Normal"/>
        <w:jc w:val="both"/>
        <w:rPr>
          <w:sz w:val="20"/>
        </w:rPr>
      </w:pPr>
      <w:r>
        <w:rPr>
          <w:sz w:val="20"/>
        </w:rPr>
      </w:r>
    </w:p>
    <w:p>
      <w:pPr>
        <w:pStyle w:val="Normal"/>
        <w:jc w:val="both"/>
        <w:rPr>
          <w:sz w:val="20"/>
        </w:rPr>
      </w:pPr>
      <w:r>
        <w:rPr>
          <w:sz w:val="20"/>
        </w:rPr>
        <w:tab/>
        <w:tab/>
        <w:t>Transaction Number:</w:t>
        <w:tab/>
        <w:t>_____________________________</w:t>
      </w:r>
    </w:p>
    <w:p>
      <w:pPr>
        <w:pStyle w:val="Normal"/>
        <w:jc w:val="both"/>
        <w:rPr>
          <w:sz w:val="20"/>
        </w:rPr>
      </w:pPr>
      <w:r>
        <w:rPr>
          <w:sz w:val="20"/>
        </w:rPr>
      </w:r>
    </w:p>
    <w:p>
      <w:pPr>
        <w:pStyle w:val="Normal"/>
        <w:jc w:val="both"/>
        <w:rPr>
          <w:sz w:val="20"/>
        </w:rPr>
      </w:pPr>
      <w:r>
        <w:rPr>
          <w:sz w:val="20"/>
        </w:rPr>
        <w:tab/>
        <w:tab/>
        <w:t>Delivery Month(s):</w:t>
        <w:tab/>
        <w:t>_____________________________</w:t>
      </w:r>
    </w:p>
    <w:p>
      <w:pPr>
        <w:pStyle w:val="Normal"/>
        <w:jc w:val="both"/>
        <w:rPr>
          <w:sz w:val="20"/>
        </w:rPr>
      </w:pPr>
      <w:r>
        <w:rPr>
          <w:sz w:val="20"/>
        </w:rPr>
      </w:r>
    </w:p>
    <w:p>
      <w:pPr>
        <w:pStyle w:val="Normal"/>
        <w:jc w:val="both"/>
        <w:rPr>
          <w:sz w:val="20"/>
        </w:rPr>
      </w:pPr>
      <w:r>
        <w:rPr>
          <w:sz w:val="20"/>
        </w:rPr>
        <w:tab/>
        <w:tab/>
        <w:t>Quantity:</w:t>
        <w:tab/>
        <w:tab/>
        <w:t>_____________________________</w:t>
      </w:r>
    </w:p>
    <w:p>
      <w:pPr>
        <w:pStyle w:val="Normal"/>
        <w:jc w:val="both"/>
        <w:rPr>
          <w:sz w:val="20"/>
        </w:rPr>
      </w:pPr>
      <w:r>
        <w:rPr>
          <w:sz w:val="20"/>
        </w:rPr>
      </w:r>
    </w:p>
    <w:p>
      <w:pPr>
        <w:pStyle w:val="Normal"/>
        <w:jc w:val="both"/>
        <w:rPr>
          <w:sz w:val="20"/>
        </w:rPr>
      </w:pPr>
      <w:r>
        <w:rPr>
          <w:sz w:val="20"/>
        </w:rPr>
        <w:tab/>
        <w:tab/>
        <w:t>Strike Date:</w:t>
        <w:tab/>
        <w:tab/>
        <w:t>_____________________________</w:t>
      </w:r>
    </w:p>
    <w:p>
      <w:pPr>
        <w:pStyle w:val="Normal"/>
        <w:jc w:val="both"/>
        <w:rPr>
          <w:sz w:val="20"/>
        </w:rPr>
      </w:pPr>
      <w:r>
        <w:rPr>
          <w:sz w:val="20"/>
        </w:rPr>
      </w:r>
    </w:p>
    <w:p>
      <w:pPr>
        <w:pStyle w:val="Normal"/>
        <w:jc w:val="both"/>
        <w:rPr>
          <w:sz w:val="20"/>
        </w:rPr>
      </w:pPr>
      <w:r>
        <w:rPr>
          <w:sz w:val="20"/>
        </w:rPr>
        <w:tab/>
        <w:tab/>
        <w:t>Strike Price:</w:t>
        <w:tab/>
        <w:tab/>
        <w:t>_____________________________</w:t>
      </w:r>
    </w:p>
    <w:p>
      <w:pPr>
        <w:pStyle w:val="Normal"/>
        <w:jc w:val="both"/>
        <w:rPr>
          <w:sz w:val="20"/>
        </w:rPr>
      </w:pPr>
      <w:r>
        <w:rPr>
          <w:sz w:val="20"/>
        </w:rPr>
      </w:r>
    </w:p>
    <w:p>
      <w:pPr>
        <w:pStyle w:val="Normal"/>
        <w:jc w:val="both"/>
        <w:rPr>
          <w:sz w:val="20"/>
        </w:rPr>
      </w:pPr>
      <w:r>
        <w:rPr>
          <w:sz w:val="20"/>
        </w:rPr>
        <w:tab/>
        <w:t>This Strike Price Election Notice confirms the terms of the Recorded Agreement reached on the Strike Date between Buyer and Seller and is subject to the terms of the above referenced agreements.</w:t>
      </w:r>
    </w:p>
    <w:p>
      <w:pPr>
        <w:pStyle w:val="Normal"/>
        <w:jc w:val="both"/>
        <w:rPr>
          <w:sz w:val="20"/>
        </w:rPr>
      </w:pPr>
      <w:r>
        <w:rPr>
          <w:sz w:val="20"/>
        </w:rPr>
      </w:r>
    </w:p>
    <w:p>
      <w:pPr>
        <w:pStyle w:val="Normal"/>
        <w:jc w:val="both"/>
        <w:rPr/>
      </w:pPr>
      <w:r>
        <w:rPr>
          <w:sz w:val="20"/>
        </w:rPr>
        <w:tab/>
        <w:tab/>
        <w:tab/>
        <w:tab/>
        <w:tab/>
        <w:tab/>
      </w:r>
      <w:r>
        <w:rPr>
          <w:b/>
          <w:bCs/>
          <w:sz w:val="20"/>
        </w:rPr>
        <w:t>ENRON NORTH AMERICA CORP.</w:t>
      </w:r>
    </w:p>
    <w:p>
      <w:pPr>
        <w:pStyle w:val="Normal"/>
        <w:jc w:val="both"/>
        <w:rPr>
          <w:b/>
          <w:bCs/>
          <w:sz w:val="20"/>
        </w:rPr>
      </w:pPr>
      <w:r>
        <w:rPr>
          <w:b/>
          <w:bCs/>
          <w:sz w:val="20"/>
        </w:rPr>
      </w:r>
    </w:p>
    <w:p>
      <w:pPr>
        <w:pStyle w:val="Normal"/>
        <w:jc w:val="both"/>
        <w:rPr>
          <w:b/>
          <w:bCs/>
          <w:sz w:val="20"/>
        </w:rPr>
      </w:pPr>
      <w:r>
        <w:rPr>
          <w:b/>
          <w:bCs/>
          <w:sz w:val="20"/>
        </w:rPr>
      </w:r>
    </w:p>
    <w:p>
      <w:pPr>
        <w:pStyle w:val="Normal"/>
        <w:jc w:val="both"/>
        <w:rPr/>
      </w:pPr>
      <w:r>
        <w:rPr>
          <w:b/>
          <w:bCs/>
          <w:sz w:val="20"/>
        </w:rPr>
        <w:tab/>
        <w:tab/>
        <w:tab/>
        <w:tab/>
        <w:tab/>
        <w:tab/>
      </w:r>
      <w:r>
        <w:rPr>
          <w:sz w:val="20"/>
        </w:rPr>
        <w:t>By: __________________________</w:t>
      </w:r>
    </w:p>
    <w:p>
      <w:pPr>
        <w:pStyle w:val="Normal"/>
        <w:jc w:val="both"/>
        <w:rPr>
          <w:sz w:val="20"/>
        </w:rPr>
      </w:pPr>
      <w:r>
        <w:rPr>
          <w:sz w:val="20"/>
        </w:rPr>
        <w:tab/>
        <w:tab/>
        <w:tab/>
        <w:tab/>
        <w:tab/>
        <w:tab/>
        <w:t>Title: _________________________</w:t>
      </w:r>
    </w:p>
    <w:p>
      <w:pPr>
        <w:pStyle w:val="Normal"/>
        <w:jc w:val="both"/>
        <w:rPr>
          <w:sz w:val="20"/>
        </w:rPr>
      </w:pPr>
      <w:r>
        <w:rPr>
          <w:sz w:val="20"/>
        </w:rPr>
        <w:tab/>
        <w:tab/>
        <w:tab/>
        <w:tab/>
        <w:tab/>
        <w:tab/>
        <w:t>Date: _________________________</w:t>
      </w:r>
    </w:p>
    <w:p>
      <w:pPr>
        <w:pStyle w:val="Normal"/>
        <w:rPr>
          <w:sz w:val="20"/>
        </w:rPr>
      </w:pPr>
      <w:r>
        <w:rPr>
          <w:sz w:val="20"/>
        </w:rPr>
      </w:r>
    </w:p>
    <w:p>
      <w:pPr>
        <w:pStyle w:val="Normal"/>
        <w:rPr>
          <w:sz w:val="20"/>
        </w:rPr>
      </w:pPr>
      <w:r>
        <w:rPr>
          <w:sz w:val="20"/>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/mnt/main-storage/datasets/enron-docs/doc/2001_036crfm.doc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/mnt/main-storage/datasets/enron-docs/doc/2001_036crfm.doc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/mnt/main-storage/datasets/enron-docs/doc/2001_036crfm.doc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/mnt/main-storage/datasets/enron-docs/doc/2001_036crfm.doc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t>Eastern New Mexico Natural Gas Association, Inc.</w:t>
    </w:r>
  </w:p>
  <w:p>
    <w:pPr>
      <w:pStyle w:val="Normal"/>
      <w:rPr>
        <w:sz w:val="20"/>
      </w:rPr>
    </w:pPr>
    <w:r>
      <w:rPr>
        <w:sz w:val="20"/>
      </w:rPr>
      <w:t>April 11, 2001</w:t>
    </w:r>
  </w:p>
  <w:p>
    <w:pPr>
      <w:pStyle w:val="Normal"/>
      <w:pBdr>
        <w:bottom w:val="single" w:sz="12" w:space="1" w:color="000000"/>
      </w:pBd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Normal"/>
      <w:pBdr>
        <w:bottom w:val="single" w:sz="12" w:space="1" w:color="000000"/>
      </w:pBdr>
      <w:rPr/>
    </w:pPr>
    <w:r>
      <w:rPr>
        <w:rStyle w:val="PageNumber"/>
        <w:sz w:val="20"/>
      </w:rPr>
      <w:t>_________________________________________</w:t>
    </w:r>
  </w:p>
  <w:p>
    <w:pPr>
      <w:pStyle w:val="Normal"/>
      <w:pBdr>
        <w:bottom w:val="single" w:sz="12" w:space="1" w:color="000000"/>
      </w:pBd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468" w:type="dxa"/>
      <w:jc w:val="start"/>
      <w:tblInd w:w="108" w:type="dxa"/>
      <w:tblLayout w:type="fixed"/>
      <w:tblCellMar>
        <w:top w:w="0" w:type="dxa"/>
        <w:start w:w="108" w:type="dxa"/>
        <w:bottom w:w="0" w:type="dxa"/>
        <w:end w:w="108" w:type="dxa"/>
      </w:tblCellMar>
    </w:tblPr>
    <w:tblGrid>
      <w:gridCol w:w="4680"/>
      <w:gridCol w:w="4788"/>
    </w:tblGrid>
    <w:tr>
      <w:trPr/>
      <w:tc>
        <w:tcPr>
          <w:tcW w:w="4680" w:type="dxa"/>
          <w:tcBorders/>
        </w:tcPr>
        <w:p>
          <w:pPr>
            <w:pStyle w:val="Normal"/>
            <w:rPr>
              <w:sz w:val="20"/>
            </w:rPr>
          </w:pPr>
          <w:r>
            <w:rPr>
              <w:sz w:val="20"/>
            </w:rPr>
            <w:drawing>
              <wp:inline distT="0" distB="0" distL="0" distR="0">
                <wp:extent cx="1086485" cy="107886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Heading1"/>
            <w:rPr>
              <w:sz w:val="20"/>
            </w:rPr>
          </w:pPr>
          <w:r>
            <w:rPr>
              <w:sz w:val="20"/>
            </w:rPr>
            <w:t>Fax (713) 646-4816</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t>Eastern New Mexico Natural Gas Association, Inc.</w:t>
    </w:r>
  </w:p>
  <w:p>
    <w:pPr>
      <w:pStyle w:val="Normal"/>
      <w:rPr>
        <w:sz w:val="20"/>
      </w:rPr>
    </w:pPr>
    <w:r>
      <w:rPr>
        <w:sz w:val="20"/>
      </w:rPr>
      <w:t>April 11, 2001</w:t>
    </w:r>
  </w:p>
  <w:p>
    <w:pPr>
      <w:pStyle w:val="Normal"/>
      <w:pBdr>
        <w:bottom w:val="single" w:sz="12" w:space="1" w:color="000000"/>
      </w:pBd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Normal"/>
      <w:pBdr>
        <w:bottom w:val="single" w:sz="12" w:space="1" w:color="000000"/>
      </w:pBdr>
      <w:rPr/>
    </w:pPr>
    <w:r>
      <w:rPr>
        <w:rStyle w:val="PageNumber"/>
        <w:sz w:val="20"/>
      </w:rPr>
      <w:t>_________________________________________</w:t>
    </w:r>
  </w:p>
  <w:p>
    <w:pPr>
      <w:pStyle w:val="Normal"/>
      <w:pBdr>
        <w:bottom w:val="single" w:sz="12" w:space="1" w:color="000000"/>
      </w:pBdr>
      <w:rPr>
        <w:rStyle w:val="PageNumber"/>
        <w:sz w:val="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468" w:type="dxa"/>
      <w:jc w:val="start"/>
      <w:tblInd w:w="108" w:type="dxa"/>
      <w:tblLayout w:type="fixed"/>
      <w:tblCellMar>
        <w:top w:w="0" w:type="dxa"/>
        <w:start w:w="108" w:type="dxa"/>
        <w:bottom w:w="0" w:type="dxa"/>
        <w:end w:w="108" w:type="dxa"/>
      </w:tblCellMar>
    </w:tblPr>
    <w:tblGrid>
      <w:gridCol w:w="4680"/>
      <w:gridCol w:w="4788"/>
    </w:tblGrid>
    <w:tr>
      <w:trPr/>
      <w:tc>
        <w:tcPr>
          <w:tcW w:w="4680" w:type="dxa"/>
          <w:tcBorders/>
        </w:tcPr>
        <w:p>
          <w:pPr>
            <w:pStyle w:val="Normal"/>
            <w:rPr>
              <w:sz w:val="20"/>
            </w:rPr>
          </w:pPr>
          <w:r>
            <w:rPr>
              <w:sz w:val="20"/>
            </w:rPr>
            <w:drawing>
              <wp:inline distT="0" distB="0" distL="0" distR="0">
                <wp:extent cx="1086485" cy="10788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Heading1"/>
            <w:rPr>
              <w:sz w:val="20"/>
            </w:rPr>
          </w:pPr>
          <w:r>
            <w:rPr>
              <w:sz w:val="20"/>
            </w:rPr>
            <w:t>Fax (713) 646-4816</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252" w:leader="none"/>
        <w:tab w:val="left" w:pos="972" w:leader="none"/>
        <w:tab w:val="left" w:pos="3132" w:leader="none"/>
      </w:tabs>
      <w:jc w:val="both"/>
      <w:outlineLvl w:val="3"/>
    </w:pPr>
    <w:rPr>
      <w:b/>
      <w:bCs/>
      <w:sz w:val="20"/>
    </w:rPr>
  </w:style>
  <w:style w:type="paragraph" w:styleId="Heading5">
    <w:name w:val="heading 5"/>
    <w:basedOn w:val="Normal"/>
    <w:next w:val="Normal"/>
    <w:qFormat/>
    <w:pPr>
      <w:keepNext w:val="true"/>
      <w:numPr>
        <w:ilvl w:val="4"/>
        <w:numId w:val="1"/>
      </w:numPr>
      <w:jc w:val="center"/>
      <w:outlineLvl w:val="4"/>
    </w:pPr>
    <w:rPr>
      <w:b/>
      <w:bCs/>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2001-04-10T19:26:00Z</dcterms:created>
  <dc:creator>ECT</dc:creator>
  <dc:description/>
  <dc:language>en-CA</dc:language>
  <cp:lastModifiedBy>dhyvl</cp:lastModifiedBy>
  <cp:lastPrinted>2001-04-11T11:05:00Z</cp:lastPrinted>
  <dcterms:modified xsi:type="dcterms:W3CDTF">2001-04-11T13:35:00Z</dcterms:modified>
  <cp:revision>7</cp:revision>
  <dc:subject>El Paso Merchant Energy, L.P.</dc:subject>
  <dc:title>QL7588.1</dc:title>
</cp:coreProperties>
</file>