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Sylvia Pollan</w:t>
            </w:r>
          </w:p>
          <w:tbl>
            <w:tblPr>
              <w:tblW w:w="13516" w:type="dxa"/>
              <w:jc w:val="start"/>
              <w:tblInd w:w="8" w:type="dxa"/>
              <w:tblLayout w:type="fixed"/>
              <w:tblCellMar>
                <w:top w:w="0" w:type="dxa"/>
                <w:start w:w="0" w:type="dxa"/>
                <w:bottom w:w="0" w:type="dxa"/>
                <w:end w:w="0" w:type="dxa"/>
              </w:tblCellMar>
            </w:tblPr>
            <w:tblGrid>
              <w:gridCol w:w="1650"/>
              <w:gridCol w:w="2025"/>
              <w:gridCol w:w="2386"/>
              <w:gridCol w:w="7439"/>
              <w:gridCol w:w="8"/>
              <w:gridCol w:w="8"/>
            </w:tblGrid>
            <w:tr>
              <w:trPr>
                <w:trHeight w:val="300" w:hRule="atLeast"/>
              </w:trPr>
              <w:tc>
                <w:tcPr>
                  <w:tcW w:w="6061" w:type="dxa"/>
                  <w:gridSpan w:val="3"/>
                  <w:tcBorders/>
                  <w:shd w:fill="FFFFFF" w:val="clear"/>
                  <w:vAlign w:val="center"/>
                </w:tcPr>
                <w:p>
                  <w:pPr>
                    <w:pStyle w:val="Normal"/>
                    <w:snapToGrid w:val="false"/>
                    <w:rPr>
                      <w:rFonts w:ascii="Arial Unicode MS" w:hAnsi="Arial Unicode MS" w:eastAsia="Arial Unicode MS" w:cs="Arial Unicode MS"/>
                    </w:rPr>
                  </w:pPr>
                  <w:r>
                    <w:rPr>
                      <w:rFonts w:eastAsia="Arial Unicode MS" w:cs="Arial Unicode MS" w:ascii="Arial Unicode MS" w:hAnsi="Arial Unicode MS"/>
                    </w:rPr>
                  </w:r>
                </w:p>
              </w:tc>
              <w:tc>
                <w:tcPr>
                  <w:tcW w:w="7439" w:type="dxa"/>
                  <w:tcBorders/>
                  <w:shd w:fill="FFFFFF" w:val="clear"/>
                  <w:vAlign w:val="center"/>
                </w:tcPr>
                <w:p>
                  <w:pPr>
                    <w:pStyle w:val="Normal"/>
                    <w:rPr>
                      <w:rFonts w:ascii="Arial Unicode MS" w:hAnsi="Arial Unicode MS" w:eastAsia="Arial Unicode MS" w:cs="Arial Unicode MS"/>
                    </w:rPr>
                  </w:pPr>
                  <w:r>
                    <w:rPr>
                      <w:sz w:val="20"/>
                    </w:rPr>
                    <w:t>EB 3769A </w:t>
                  </w:r>
                </w:p>
              </w:tc>
            </w:tr>
            <w:tr>
              <w:trPr>
                <w:trHeight w:val="300" w:hRule="atLeast"/>
              </w:trPr>
              <w:tc>
                <w:tcPr>
                  <w:tcW w:w="1650" w:type="dxa"/>
                  <w:tcBorders/>
                  <w:shd w:fill="FFFFFF" w:val="clear"/>
                  <w:vAlign w:val="center"/>
                </w:tcPr>
                <w:p>
                  <w:pPr>
                    <w:pStyle w:val="Normal"/>
                    <w:snapToGrid w:val="false"/>
                    <w:rPr>
                      <w:rFonts w:ascii="Arial Unicode MS" w:hAnsi="Arial Unicode MS" w:eastAsia="Arial Unicode MS" w:cs="Arial Unicode MS"/>
                      <w:sz w:val="20"/>
                    </w:rPr>
                  </w:pPr>
                  <w:r>
                    <w:rPr>
                      <w:rFonts w:eastAsia="Arial Unicode MS" w:cs="Arial Unicode MS" w:ascii="Arial Unicode MS" w:hAnsi="Arial Unicode MS"/>
                      <w:sz w:val="20"/>
                    </w:rPr>
                  </w:r>
                </w:p>
              </w:tc>
              <w:tc>
                <w:tcPr>
                  <w:tcW w:w="2025" w:type="dxa"/>
                  <w:tcBorders/>
                  <w:shd w:fill="FFFFFF" w:val="clear"/>
                  <w:vAlign w:val="center"/>
                </w:tcPr>
                <w:p>
                  <w:pPr>
                    <w:pStyle w:val="Normal"/>
                    <w:rPr>
                      <w:rFonts w:ascii="Arial Unicode MS" w:hAnsi="Arial Unicode MS" w:eastAsia="Arial Unicode MS" w:cs="Arial Unicode MS"/>
                    </w:rPr>
                  </w:pPr>
                  <w:r>
                    <w:rPr>
                      <w:sz w:val="20"/>
                    </w:rPr>
                    <w:t>EB 3769A </w:t>
                  </w:r>
                </w:p>
              </w:tc>
              <w:tc>
                <w:tcPr>
                  <w:tcW w:w="9833" w:type="dxa"/>
                  <w:gridSpan w:val="2"/>
                  <w:tcBorders/>
                </w:tcPr>
                <w:p>
                  <w:pPr>
                    <w:pStyle w:val="Normal"/>
                    <w:snapToGrid w:val="false"/>
                    <w:rPr>
                      <w:rFonts w:ascii="Arial Unicode MS" w:hAnsi="Arial Unicode MS" w:eastAsia="Arial Unicode MS" w:cs="Arial Unicode MS"/>
                      <w:sz w:val="20"/>
                    </w:rPr>
                  </w:pPr>
                  <w:r>
                    <w:rPr>
                      <w:rFonts w:eastAsia="Arial Unicode MS" w:cs="Arial Unicode MS" w:ascii="Arial Unicode MS" w:hAnsi="Arial Unicode MS"/>
                      <w:sz w:val="20"/>
                    </w:rPr>
                  </w:r>
                </w:p>
              </w:tc>
            </w:tr>
            <w:tr>
              <w:trPr>
                <w:trHeight w:val="300" w:hRule="atLeast"/>
              </w:trPr>
              <w:tc>
                <w:tcPr>
                  <w:tcW w:w="1650" w:type="dxa"/>
                  <w:tcBorders/>
                  <w:shd w:fill="FFFFFF" w:val="clear"/>
                  <w:vAlign w:val="center"/>
                </w:tcPr>
                <w:p>
                  <w:pPr>
                    <w:pStyle w:val="Normal"/>
                    <w:snapToGrid w:val="false"/>
                    <w:rPr>
                      <w:rFonts w:ascii="Arial Unicode MS" w:hAnsi="Arial Unicode MS" w:eastAsia="Arial Unicode MS" w:cs="Arial Unicode MS"/>
                      <w:sz w:val="20"/>
                    </w:rPr>
                  </w:pPr>
                  <w:r>
                    <w:rPr>
                      <w:rFonts w:eastAsia="Arial Unicode MS" w:cs="Arial Unicode MS" w:ascii="Arial Unicode MS" w:hAnsi="Arial Unicode MS"/>
                      <w:sz w:val="20"/>
                    </w:rPr>
                  </w:r>
                </w:p>
              </w:tc>
              <w:tc>
                <w:tcPr>
                  <w:tcW w:w="2025" w:type="dxa"/>
                  <w:tcBorders/>
                  <w:shd w:fill="FFFFFF" w:val="clear"/>
                  <w:vAlign w:val="center"/>
                </w:tcPr>
                <w:p>
                  <w:pPr>
                    <w:pStyle w:val="Normal"/>
                    <w:rPr>
                      <w:rFonts w:ascii="Arial Unicode MS" w:hAnsi="Arial Unicode MS" w:eastAsia="Arial Unicode MS" w:cs="Arial Unicode MS"/>
                    </w:rPr>
                  </w:pPr>
                  <w:r>
                    <w:rPr>
                      <w:sz w:val="20"/>
                    </w:rPr>
                    <w:t>EB 3769A </w:t>
                  </w:r>
                </w:p>
              </w:tc>
              <w:tc>
                <w:tcPr>
                  <w:tcW w:w="9841" w:type="dxa"/>
                  <w:gridSpan w:val="2"/>
                  <w:tcBorders/>
                </w:tcPr>
                <w:p>
                  <w:pPr>
                    <w:pStyle w:val="Normal"/>
                    <w:snapToGrid w:val="false"/>
                    <w:rPr>
                      <w:rFonts w:ascii="Arial Unicode MS" w:hAnsi="Arial Unicode MS" w:eastAsia="Arial Unicode MS" w:cs="Arial Unicode MS"/>
                      <w:sz w:val="20"/>
                    </w:rPr>
                  </w:pPr>
                  <w:r>
                    <w:rPr>
                      <w:rFonts w:eastAsia="Arial Unicode MS" w:cs="Arial Unicode MS" w:ascii="Arial Unicode MS" w:hAnsi="Arial Unicode MS"/>
                      <w:sz w:val="20"/>
                    </w:rPr>
                  </w:r>
                </w:p>
              </w:tc>
            </w:tr>
          </w:tbl>
          <w:p>
            <w:pPr>
              <w:pStyle w:val="To"/>
              <w:rPr/>
            </w:pPr>
            <w:r>
              <w:rPr/>
              <w:t>EB3769A</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Dan Hyvl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Legal 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rFonts w:cs="Arial"/>
              </w:rPr>
            </w:pPr>
            <w:r>
              <w:rPr>
                <w:rFonts w:cs="Arial"/>
              </w:rPr>
              <w:t xml:space="preserve">EnergyOne Ventures, L.P.  </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21, 2001</w:t>
            </w:r>
          </w:p>
        </w:tc>
      </w:tr>
    </w:tbl>
    <w:p>
      <w:pPr>
        <w:pStyle w:val="Body"/>
        <w:rPr/>
      </w:pPr>
      <w:r>
        <w:rPr/>
      </w:r>
      <w:bookmarkStart w:id="1" w:name="StartOfMemo"/>
      <w:bookmarkStart w:id="2" w:name="StartOfMemo"/>
      <w:bookmarkEnd w:id="2"/>
    </w:p>
    <w:p>
      <w:pPr>
        <w:pStyle w:val="Body"/>
        <w:jc w:val="both"/>
        <w:rPr/>
      </w:pPr>
      <w:r>
        <w:rPr/>
        <w:t>I have reviewed the comments that you received from Denise Gzehoviak concerning the changes that ENA proposed as a condition to signing their draft of the proposed contract.</w:t>
      </w:r>
    </w:p>
    <w:p>
      <w:pPr>
        <w:pStyle w:val="Body"/>
        <w:jc w:val="both"/>
        <w:rPr/>
      </w:pPr>
      <w:r>
        <w:rPr/>
      </w:r>
    </w:p>
    <w:p>
      <w:pPr>
        <w:pStyle w:val="Body"/>
        <w:numPr>
          <w:ilvl w:val="0"/>
          <w:numId w:val="1"/>
        </w:numPr>
        <w:jc w:val="both"/>
        <w:rPr/>
      </w:pPr>
      <w:r>
        <w:rPr/>
        <w:t>ENA requested that ENA be the confirming party; however, EnergyOne will not agree to allow ENA to be the confirming party.  This is a problem if they want to use the contract for EOL purposes.</w:t>
      </w:r>
    </w:p>
    <w:p>
      <w:pPr>
        <w:pStyle w:val="Body"/>
        <w:numPr>
          <w:ilvl w:val="0"/>
          <w:numId w:val="1"/>
        </w:numPr>
        <w:jc w:val="both"/>
        <w:rPr/>
      </w:pPr>
      <w:r>
        <w:rPr/>
        <w:t>ENA requested that damages for delivery breaches be determined on a Spot Standard; EnergyOne will not agree to the Spot Standard and desires to use the Cover Standard.  This is a problem because ENA will never have a cover contract to use to calculate any damages; whereas EnergyOne will always be able to show what contract they entered into to buy the volumes that ENA did not schedule or deliver.</w:t>
      </w:r>
    </w:p>
    <w:p>
      <w:pPr>
        <w:pStyle w:val="Body"/>
        <w:numPr>
          <w:ilvl w:val="0"/>
          <w:numId w:val="1"/>
        </w:numPr>
        <w:jc w:val="both"/>
        <w:rPr/>
      </w:pPr>
      <w:r>
        <w:rPr/>
        <w:t>EnergyOne has added (x) to Section 10.2 which negates the language relating to Material Adverse Change in (vii) thereof.  Clause (x) would allow a party to request security at any time even if a MAC was not triggered.  They have also deleted the Collateral Threshold language which had been in their original proposed draft of the contract.  These changes need to be addressed by credit.</w:t>
      </w:r>
    </w:p>
    <w:p>
      <w:pPr>
        <w:pStyle w:val="Body"/>
        <w:numPr>
          <w:ilvl w:val="0"/>
          <w:numId w:val="1"/>
        </w:numPr>
        <w:jc w:val="both"/>
        <w:rPr/>
      </w:pPr>
      <w:r>
        <w:rPr/>
        <w:t>ENA requested that the damages be capped at $0.15 over the Spot Standard; however, EnergyOne will not agree to so limit damages, but instead wants the damages to be the highest penalty paid on any pipeline in addition to the Cover Standard.</w:t>
      </w:r>
    </w:p>
    <w:p>
      <w:pPr>
        <w:pStyle w:val="Body"/>
        <w:numPr>
          <w:ilvl w:val="0"/>
          <w:numId w:val="1"/>
        </w:numPr>
        <w:jc w:val="both"/>
        <w:rPr/>
      </w:pPr>
      <w:r>
        <w:rPr/>
        <w:t>ENA requested that the triggering event for non-delivery be for 30 days during any year instead of the 10 days proposed by EnergyOne; however, EnergyOne wants it to be 15 Days.  This should be okay.</w:t>
      </w:r>
    </w:p>
    <w:p>
      <w:pPr>
        <w:pStyle w:val="Body"/>
        <w:jc w:val="both"/>
        <w:rPr/>
      </w:pPr>
      <w:r>
        <w:rPr/>
      </w:r>
    </w:p>
    <w:p>
      <w:pPr>
        <w:pStyle w:val="Body"/>
        <w:jc w:val="both"/>
        <w:rPr/>
      </w:pPr>
      <w:r>
        <w:rPr/>
        <w:t>Finally,  I am not sure that I received all of her comments because her comments stop in the middle of a paragraph on page 8 of the fax; however, the cover sheet says that 33 pages are faxed however, we only have 32 pages.  Am I missing any of her comments?</w:t>
      </w:r>
    </w:p>
    <w:p>
      <w:pPr>
        <w:pStyle w:val="Body"/>
        <w:jc w:val="both"/>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17"/>
        </w:tabs>
        <w:ind w:start="717" w:hanging="64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Subject">
    <w:name w:val="Subject"/>
    <w:basedOn w:val="Normal"/>
    <w:qFormat/>
    <w:pPr>
      <w:overflowPunct w:val="false"/>
      <w:autoSpaceDE w:val="false"/>
      <w:textAlignment w:val="baseline"/>
    </w:pPr>
    <w:rPr>
      <w:rFonts w:ascii="Arial" w:hAnsi="Arial" w:cs="Arial"/>
      <w:sz w:val="20"/>
      <w:szCs w:val="20"/>
    </w:rPr>
  </w:style>
  <w:style w:type="paragraph" w:styleId="Date">
    <w:name w:val="Date"/>
    <w:basedOn w:val="Normal"/>
    <w:qFormat/>
    <w:pPr>
      <w:overflowPunct w:val="false"/>
      <w:autoSpaceDE w:val="false"/>
      <w:textAlignment w:val="baseline"/>
    </w:pPr>
    <w:rPr>
      <w:rFonts w:ascii="Arial" w:hAnsi="Arial" w:cs="Arial"/>
      <w:sz w:val="20"/>
      <w:szCs w:val="20"/>
    </w:rPr>
  </w:style>
  <w:style w:type="paragraph" w:styleId="To">
    <w:name w:val="To"/>
    <w:basedOn w:val="Normal"/>
    <w:qFormat/>
    <w:pPr>
      <w:overflowPunct w:val="false"/>
      <w:autoSpaceDE w:val="false"/>
      <w:textAlignment w:val="baseline"/>
    </w:pPr>
    <w:rPr>
      <w:rFonts w:ascii="Arial" w:hAnsi="Arial" w:cs="Arial"/>
      <w:sz w:val="20"/>
      <w:szCs w:val="20"/>
    </w:rPr>
  </w:style>
  <w:style w:type="paragraph" w:styleId="From">
    <w:name w:val="From"/>
    <w:basedOn w:val="Normal"/>
    <w:qFormat/>
    <w:pPr>
      <w:overflowPunct w:val="false"/>
      <w:autoSpaceDE w:val="false"/>
      <w:textAlignment w:val="baseline"/>
    </w:pPr>
    <w:rPr>
      <w:rFonts w:ascii="Arial" w:hAnsi="Arial" w:cs="Arial"/>
      <w:sz w:val="20"/>
      <w:szCs w:val="20"/>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Department">
    <w:name w:val="Department"/>
    <w:basedOn w:val="Normal"/>
    <w:qFormat/>
    <w:pPr>
      <w:overflowPunct w:val="false"/>
      <w:autoSpaceDE w:val="false"/>
      <w:textAlignment w:val="baseline"/>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2001-05-21T10:34:00Z</dcterms:created>
  <dc:creator>dhyvl</dc:creator>
  <dc:description/>
  <dc:language>en-CA</dc:language>
  <cp:lastModifiedBy>dhyvl</cp:lastModifiedBy>
  <dcterms:modified xsi:type="dcterms:W3CDTF">2001-05-21T11:27:00Z</dcterms:modified>
  <cp:revision>2</cp:revision>
  <dc:subject/>
  <dc:title/>
</cp:coreProperties>
</file>