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April 5, 2001</w:t>
      </w:r>
    </w:p>
    <w:p>
      <w:pPr>
        <w:pStyle w:val="Normal"/>
        <w:rPr/>
      </w:pPr>
      <w:r>
        <w:rPr/>
      </w:r>
    </w:p>
    <w:p>
      <w:pPr>
        <w:pStyle w:val="Normal"/>
        <w:rPr/>
      </w:pPr>
      <w:r>
        <w:rPr/>
        <w:t>Seminole Pipeline Company</w:t>
      </w:r>
    </w:p>
    <w:p>
      <w:pPr>
        <w:pStyle w:val="Normal"/>
        <w:rPr/>
      </w:pPr>
      <w:r>
        <w:rPr/>
        <w:t>c/o Williams Terminal Holdings, LLC</w:t>
      </w:r>
    </w:p>
    <w:p>
      <w:pPr>
        <w:pStyle w:val="Normal"/>
        <w:rPr/>
      </w:pPr>
      <w:r>
        <w:rPr/>
        <w:t>P. O. Box 645</w:t>
      </w:r>
    </w:p>
    <w:p>
      <w:pPr>
        <w:pStyle w:val="Normal"/>
        <w:rPr/>
      </w:pPr>
      <w:r>
        <w:rPr/>
        <w:t>Tulsa, Oklahoma  74101-0645</w:t>
      </w:r>
    </w:p>
    <w:p>
      <w:pPr>
        <w:pStyle w:val="Normal"/>
        <w:rPr/>
      </w:pPr>
      <w:r>
        <w:rPr/>
      </w:r>
    </w:p>
    <w:p>
      <w:pPr>
        <w:pStyle w:val="Normal"/>
        <w:rPr/>
      </w:pPr>
      <w:r>
        <w:rPr/>
        <w:t>Attn:  Martha Wells</w:t>
      </w:r>
    </w:p>
    <w:p>
      <w:pPr>
        <w:pStyle w:val="Normal"/>
        <w:rPr/>
      </w:pPr>
      <w:r>
        <w:rPr/>
        <w:t>Email: &lt;martha.wells@williams.com&gt;</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between </w:t>
      </w:r>
      <w:r>
        <w:rPr>
          <w:b/>
        </w:rPr>
        <w:t xml:space="preserve">Seminole Pipeline Company </w:t>
      </w:r>
      <w:r>
        <w:rPr/>
        <w:t>(“</w:t>
      </w:r>
      <w:r>
        <w:rPr>
          <w:u w:val="single"/>
        </w:rPr>
        <w:t>Customer</w:t>
      </w:r>
      <w:r>
        <w:rPr/>
        <w:t>” or “</w:t>
      </w:r>
      <w:r>
        <w:rPr>
          <w:u w:val="single"/>
        </w:rPr>
        <w:t>Buyer</w:t>
      </w:r>
      <w:r>
        <w:rPr/>
        <w:t xml:space="preserve">”) and </w:t>
      </w:r>
      <w:r>
        <w:rPr>
          <w:b/>
        </w:rPr>
        <w:t xml:space="preserve">Houston Pipe Line Company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BodyText"/>
              <w:widowControl/>
              <w:snapToGrid w:val="false"/>
              <w:rPr>
                <w:bCs/>
              </w:rPr>
            </w:pPr>
            <w:r>
              <w:rPr>
                <w:bCs/>
              </w:rPr>
            </w:r>
          </w:p>
          <w:p>
            <w:pPr>
              <w:pStyle w:val="Normal"/>
              <w:rPr>
                <w:b/>
              </w:rPr>
            </w:pPr>
            <w:r>
              <w:rPr>
                <w:b/>
              </w:rPr>
              <w:t>MINIMUM DAILY QUANTITY (“MinDQ”):</w:t>
            </w:r>
          </w:p>
          <w:p>
            <w:pPr>
              <w:pStyle w:val="Normal"/>
              <w:rPr>
                <w:b/>
              </w:rPr>
            </w:pPr>
            <w:r>
              <w:rPr>
                <w:b/>
              </w:rPr>
            </w:r>
          </w:p>
          <w:p>
            <w:pPr>
              <w:pStyle w:val="Normal"/>
              <w:rPr/>
            </w:pPr>
            <w:r>
              <w:rPr>
                <w:b/>
              </w:rPr>
              <w:t>MAXIMUM DAILY QUANTITY (“</w:t>
            </w:r>
            <w:r>
              <w:rPr>
                <w:b/>
                <w:u w:val="single"/>
              </w:rPr>
              <w:t>MaxDQ</w:t>
            </w:r>
            <w:r>
              <w:rPr>
                <w:b/>
              </w:rPr>
              <w:t>”):</w:t>
            </w:r>
          </w:p>
        </w:tc>
        <w:tc>
          <w:tcPr>
            <w:tcW w:w="6570" w:type="dxa"/>
            <w:tcBorders/>
          </w:tcPr>
          <w:p>
            <w:pPr>
              <w:pStyle w:val="BlockText"/>
              <w:snapToGrid w:val="false"/>
              <w:ind w:end="144"/>
              <w:rPr>
                <w:b/>
              </w:rPr>
            </w:pPr>
            <w:r>
              <w:rPr>
                <w:b/>
              </w:rPr>
            </w:r>
          </w:p>
          <w:p>
            <w:pPr>
              <w:pStyle w:val="BlockText"/>
              <w:ind w:end="144"/>
              <w:rPr/>
            </w:pPr>
            <w:r>
              <w:rPr/>
            </w:r>
          </w:p>
          <w:p>
            <w:pPr>
              <w:pStyle w:val="Normal"/>
              <w:ind w:start="-108" w:end="144"/>
              <w:rPr/>
            </w:pPr>
            <w:r>
              <w:rPr/>
              <w:t>100% of Customer’s total natural gas requirements each Day up to the MaxDQ.</w:t>
            </w:r>
          </w:p>
          <w:p>
            <w:pPr>
              <w:pStyle w:val="Normal"/>
              <w:ind w:start="-108" w:end="144"/>
              <w:rPr/>
            </w:pPr>
            <w:r>
              <w:rPr/>
            </w:r>
          </w:p>
          <w:p>
            <w:pPr>
              <w:pStyle w:val="Normal"/>
              <w:ind w:start="-108" w:end="144"/>
              <w:rPr/>
            </w:pPr>
            <w:r>
              <w:rPr/>
              <w:t>600 MMBtu per Day..</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 meters #1380 and #1397 located in Brazoria County, Texas.</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rHeight w:val="2367" w:hRule="atLeast"/>
        </w:trPr>
        <w:tc>
          <w:tcPr>
            <w:tcW w:w="3168" w:type="dxa"/>
            <w:tcBorders/>
          </w:tcPr>
          <w:p>
            <w:pPr>
              <w:pStyle w:val="Normal"/>
              <w:rPr>
                <w:b/>
              </w:rPr>
            </w:pPr>
            <w:r>
              <w:rPr>
                <w:b/>
              </w:rPr>
              <w:t>CONTRACT PRICE:</w:t>
            </w:r>
          </w:p>
        </w:tc>
        <w:tc>
          <w:tcPr>
            <w:tcW w:w="6552" w:type="dxa"/>
            <w:tcBorders/>
          </w:tcPr>
          <w:p>
            <w:pPr>
              <w:pStyle w:val="Normal"/>
              <w:ind w:start="-115" w:end="144"/>
              <w:jc w:val="both"/>
              <w:rPr/>
            </w:pPr>
            <w:r>
              <w:rPr/>
              <w:t xml:space="preserve">The “Index Price” appearing in </w:t>
            </w:r>
            <w:r>
              <w:rPr>
                <w:u w:val="single"/>
              </w:rPr>
              <w:t>Inside F.E.R.C.’s Gas Market Report</w:t>
            </w:r>
            <w:r>
              <w:rPr/>
              <w:t xml:space="preserve"> from the table entitled Delivered Spot-Gas Prices, for Houston Ship Channel/Beaumont, Texas Indes (large packages only) as published in the first-of-the-month publication for the month of delivery plus a commodity differential of $0.15 per MMBtu.</w:t>
            </w:r>
          </w:p>
        </w:tc>
      </w:tr>
      <w:tr>
        <w:trPr/>
        <w:tc>
          <w:tcPr>
            <w:tcW w:w="3168" w:type="dxa"/>
            <w:tcBorders/>
          </w:tcPr>
          <w:p>
            <w:pPr>
              <w:pStyle w:val="Normal"/>
              <w:ind w:end="-108"/>
              <w:rPr>
                <w:b/>
              </w:rPr>
            </w:pPr>
            <w:r>
              <w:rPr>
                <w:b/>
              </w:rPr>
              <w:t>PERIOD OF DELIVERY:</w:t>
            </w:r>
          </w:p>
        </w:tc>
        <w:tc>
          <w:tcPr>
            <w:tcW w:w="6552" w:type="dxa"/>
            <w:tcBorders/>
          </w:tcPr>
          <w:p>
            <w:pPr>
              <w:pStyle w:val="Normal"/>
              <w:ind w:start="-108" w:end="144"/>
              <w:jc w:val="both"/>
              <w:rPr/>
            </w:pPr>
            <w:r>
              <w:rPr/>
              <w:t>May 1, 2000 through September 30, 2001.</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144"/>
              <w:jc w:val="both"/>
              <w:rPr>
                <w:b/>
              </w:rPr>
            </w:pPr>
            <w:r>
              <w:rPr>
                <w:b/>
              </w:rPr>
              <w:t>NOTICE AND COMMUNICATION TO COMPANY, AS FOLLOWS:</w:t>
            </w:r>
          </w:p>
          <w:p>
            <w:pPr>
              <w:pStyle w:val="Normal"/>
              <w:ind w:start="-108" w:end="0"/>
              <w:jc w:val="both"/>
              <w:rPr>
                <w:b/>
              </w:rPr>
            </w:pPr>
            <w:r>
              <w:rPr>
                <w:b/>
              </w:rPr>
              <w:t>NOTICE/CORRESPONDENCE:</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Documentation and Deal Clearing</w:t>
            </w:r>
          </w:p>
          <w:p>
            <w:pPr>
              <w:pStyle w:val="Normal"/>
              <w:ind w:start="-108" w:end="0"/>
              <w:jc w:val="both"/>
              <w:rPr/>
            </w:pPr>
            <w:r>
              <w:rPr/>
              <w:t>Facsimile No. (713) 646-4816</w:t>
            </w:r>
          </w:p>
          <w:p>
            <w:pPr>
              <w:pStyle w:val="Normal"/>
              <w:ind w:start="-108" w:end="0"/>
              <w:jc w:val="both"/>
              <w:rPr/>
            </w:pPr>
            <w:r>
              <w:rPr/>
              <w:t>Termination Notice Facsimile No. (713) 646-4818</w:t>
            </w:r>
          </w:p>
          <w:p>
            <w:pPr>
              <w:pStyle w:val="Normal"/>
              <w:ind w:start="-108" w:end="0"/>
              <w:jc w:val="both"/>
              <w:rPr>
                <w:b/>
              </w:rPr>
            </w:pPr>
            <w:r>
              <w:rPr>
                <w:b/>
              </w:rPr>
              <w:t>INVOICES:</w:t>
            </w:r>
          </w:p>
          <w:p>
            <w:pPr>
              <w:pStyle w:val="Normal"/>
              <w:ind w:start="-108" w:end="0"/>
              <w:jc w:val="both"/>
              <w:rPr/>
            </w:pPr>
            <w:r>
              <w:rPr/>
              <w:t>P. O. Box 4428</w:t>
            </w:r>
          </w:p>
          <w:p>
            <w:pPr>
              <w:pStyle w:val="Normal"/>
              <w:ind w:start="-108" w:end="0"/>
              <w:jc w:val="both"/>
              <w:rPr/>
            </w:pPr>
            <w:r>
              <w:rPr/>
              <w:t>Houston, Texas 77210-4428</w:t>
            </w:r>
          </w:p>
          <w:p>
            <w:pPr>
              <w:pStyle w:val="Normal"/>
              <w:ind w:start="-108" w:end="0"/>
              <w:jc w:val="both"/>
              <w:rPr/>
            </w:pPr>
            <w:r>
              <w:rPr/>
              <w:t>Attn:  Client Services</w:t>
            </w:r>
          </w:p>
          <w:p>
            <w:pPr>
              <w:pStyle w:val="Normal"/>
              <w:ind w:start="-108" w:end="0"/>
              <w:jc w:val="both"/>
              <w:rPr/>
            </w:pPr>
            <w:r>
              <w:rPr/>
              <w:t>Facsimile No. (713) 646-8420</w:t>
            </w:r>
          </w:p>
          <w:p>
            <w:pPr>
              <w:pStyle w:val="Normal"/>
              <w:ind w:start="-108" w:end="0"/>
              <w:jc w:val="both"/>
              <w:rPr>
                <w:b/>
              </w:rPr>
            </w:pPr>
            <w:r>
              <w:rPr>
                <w:b/>
              </w:rPr>
              <w:t>PAYMENTS:</w:t>
            </w:r>
          </w:p>
          <w:p>
            <w:pPr>
              <w:pStyle w:val="Normal"/>
              <w:ind w:start="-108" w:end="0"/>
              <w:jc w:val="both"/>
              <w:rPr/>
            </w:pPr>
            <w:r>
              <w:rPr/>
              <w:t>Houston Pipe Line Company.</w:t>
            </w:r>
          </w:p>
          <w:p>
            <w:pPr>
              <w:pStyle w:val="Normal"/>
              <w:ind w:start="-108" w:end="0"/>
              <w:jc w:val="both"/>
              <w:rPr/>
            </w:pPr>
            <w:r>
              <w:rPr/>
              <w:t>ABA Routing 111000012 Bank of America Account 3750494141</w:t>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ECT Gas Trading</w:t>
            </w:r>
          </w:p>
          <w:p>
            <w:pPr>
              <w:pStyle w:val="Normal"/>
              <w:ind w:start="-108" w:end="0"/>
              <w:jc w:val="both"/>
              <w:rPr/>
            </w:pPr>
            <w:r>
              <w:rPr/>
              <w:t>Facsimile No. (713) 646-2531</w:t>
            </w:r>
          </w:p>
          <w:p>
            <w:pPr>
              <w:pStyle w:val="Normal"/>
              <w:ind w:start="-108" w:end="0"/>
              <w:jc w:val="both"/>
              <w:rPr/>
            </w:pPr>
            <w:r>
              <w:rPr/>
            </w:r>
          </w:p>
        </w:tc>
      </w:tr>
    </w:tbl>
    <w:p>
      <w:pPr>
        <w:pStyle w:val="Normal"/>
        <w:jc w:val="both"/>
        <w:rPr/>
      </w:pPr>
      <w:r>
        <w:rPr/>
        <w:t>This Firm Confirmation is being provided pursuant to and in accordance with the ENFOLIO FIRM GENERAL TERMS &amp; CONDITIONS (the "</w:t>
      </w:r>
      <w:r>
        <w:rPr>
          <w:u w:val="single"/>
        </w:rPr>
        <w:t>Firm GTC</w:t>
      </w:r>
      <w:r>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pPr>
      <w:r>
        <w:rPr/>
      </w:r>
    </w:p>
    <w:p>
      <w:pPr>
        <w:pStyle w:val="Normal"/>
        <w:jc w:val="both"/>
        <w:rPr>
          <w:rFonts w:ascii="Arial Narrow" w:hAnsi="Arial Narrow" w:cs="Arial Narrow"/>
          <w:sz w:val="20"/>
        </w:rPr>
      </w:pPr>
      <w:r>
        <w:rPr/>
        <w:t>Neither party shall disclose the terms of this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r>
        <w:rPr>
          <w:rFonts w:cs="Arial Narrow" w:ascii="Arial Narrow" w:hAnsi="Arial Narrow"/>
        </w:rPr>
        <w:t xml:space="preserve">  </w:t>
      </w:r>
    </w:p>
    <w:p>
      <w:pPr>
        <w:pStyle w:val="Normal"/>
        <w:rPr/>
      </w:pPr>
      <w:r>
        <w:rPr/>
        <w:br/>
      </w:r>
      <w:r>
        <w:br w:type="page"/>
      </w:r>
    </w:p>
    <w:p>
      <w:pPr>
        <w:pStyle w:val="Normal"/>
        <w:rPr/>
      </w:pPr>
      <w:r>
        <w:rPr/>
      </w:r>
    </w:p>
    <w:p>
      <w:pPr>
        <w:sectPr>
          <w:headerReference w:type="default" r:id="rId2"/>
          <w:headerReference w:type="first" r:id="rId3"/>
          <w:footerReference w:type="default" r:id="rId4"/>
          <w:footerReference w:type="first" r:id="rId5"/>
          <w:type w:val="nextPage"/>
          <w:pgSz w:w="12240" w:h="15840"/>
          <w:pgMar w:left="1170" w:right="1440" w:gutter="0" w:header="720" w:top="1440" w:footer="720" w:bottom="1440"/>
          <w:pgNumType w:start="1" w:fmt="decimal"/>
          <w:formProt w:val="false"/>
          <w:titlePg/>
          <w:textDirection w:val="lrTb"/>
          <w:docGrid w:type="default" w:linePitch="360" w:charSpace="0"/>
        </w:sectPr>
      </w:pP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sz w:val="18"/>
          <w:u w:val="single"/>
        </w:rPr>
        <w:t>12.  Collateral Arrangements.</w:t>
      </w:r>
      <w:r>
        <w:rPr>
          <w:rFonts w:cs="Arial Narrow" w:ascii="Arial Narrow" w:hAnsi="Arial Narrow"/>
          <w:bCs/>
          <w:sz w:val="18"/>
        </w:rPr>
        <w:t xml:space="preserve">  Customer shall at Company’s request either (i) within one Business Day of such request by Company, provide to Company a letter of credit in respect of Customer’s obligations under any Transaction, in such form and for such amount and from such issuer, as is acceptable to Company in its sole and absolute discretion; or (ii) within such period as is specified by Company, provide for the benefit of Company a parent company guarantee in such form and for such amount as is acceptable to Company in its sole and absolute discretion.  Failure to provide such letter of credit or parent company guarantee shall constitute a Triggering Event hereunder giving rise to the immediate right of termination by Company under this Firm GTC.</w:t>
      </w:r>
    </w:p>
    <w:p>
      <w:pPr>
        <w:pStyle w:val="Normal"/>
        <w:jc w:val="both"/>
        <w:rPr/>
      </w:pPr>
      <w:r>
        <w:rPr>
          <w:rFonts w:cs="Arial Narrow" w:ascii="Arial Narrow" w:hAnsi="Arial Narrow"/>
          <w:b/>
          <w:sz w:val="18"/>
          <w:u w:val="single"/>
        </w:rPr>
        <w:t>13.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sectPr>
      <w:type w:val="continuous"/>
      <w:pgSz w:w="12240" w:h="15840"/>
      <w:pgMar w:left="1170" w:right="576"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8.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/mnt/main-storage/datasets/enron-docs/doc/2001_033crfm.doc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/mnt/main-storage/datasets/enron-docs/doc/2001_033crfm.doc</w:t>
    </w:r>
    <w:r>
      <w:rPr>
        <w:sz w:val="1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sz w:val="22"/>
      </w:rPr>
      <w:t>Seminole Pipeline Company</w:t>
    </w:r>
  </w:p>
  <w:p>
    <w:pPr>
      <w:pStyle w:val="Header"/>
      <w:rPr>
        <w:rFonts w:ascii="Times New Roman" w:hAnsi="Times New Roman" w:cs="Times New Roman"/>
        <w:sz w:val="22"/>
      </w:rPr>
    </w:pPr>
    <w:r>
      <w:rPr>
        <w:rFonts w:cs="Times New Roman" w:ascii="Times New Roman" w:hAnsi="Times New Roman"/>
        <w:sz w:val="22"/>
      </w:rPr>
      <w:t>April 5,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5</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075398603"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2001-04-04T19:24:00Z</dcterms:created>
  <dc:creator>Daniel J. Hyvl</dc:creator>
  <dc:description/>
  <dc:language>en-CA</dc:language>
  <cp:lastModifiedBy>dhyvl</cp:lastModifiedBy>
  <cp:lastPrinted>2001-04-04T18:03:00Z</cp:lastPrinted>
  <dcterms:modified xsi:type="dcterms:W3CDTF">2001-04-04T20:34:00Z</dcterms:modified>
  <cp:revision>6</cp:revision>
  <dc:subject/>
  <dc:title>December 15, 1999</dc:title>
</cp:coreProperties>
</file>