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April 5, 2001</w:t>
      </w:r>
    </w:p>
    <w:p>
      <w:pPr>
        <w:pStyle w:val="Normal"/>
        <w:rPr/>
      </w:pPr>
      <w:r>
        <w:rPr/>
      </w:r>
    </w:p>
    <w:p>
      <w:pPr>
        <w:pStyle w:val="Normal"/>
        <w:rPr/>
      </w:pPr>
      <w:r>
        <w:rPr/>
      </w:r>
    </w:p>
    <w:p>
      <w:pPr>
        <w:pStyle w:val="Normal"/>
        <w:rPr/>
      </w:pPr>
      <w:r>
        <w:rPr/>
        <w:t>Williams Terminal Holdings, LLC</w:t>
      </w:r>
    </w:p>
    <w:p>
      <w:pPr>
        <w:pStyle w:val="Normal"/>
        <w:rPr/>
      </w:pPr>
      <w:r>
        <w:rPr/>
        <w:t>P. O. Box 645</w:t>
      </w:r>
    </w:p>
    <w:p>
      <w:pPr>
        <w:pStyle w:val="Normal"/>
        <w:rPr/>
      </w:pPr>
      <w:r>
        <w:rPr/>
        <w:t>Tulsa, Oklahoma  74101-0645</w:t>
      </w:r>
    </w:p>
    <w:p>
      <w:pPr>
        <w:pStyle w:val="Normal"/>
        <w:rPr/>
      </w:pPr>
      <w:r>
        <w:rPr/>
      </w:r>
    </w:p>
    <w:p>
      <w:pPr>
        <w:pStyle w:val="Normal"/>
        <w:rPr/>
      </w:pPr>
      <w:r>
        <w:rPr/>
        <w:t>Attn:  Martha Wells</w:t>
      </w:r>
    </w:p>
    <w:p>
      <w:pPr>
        <w:pStyle w:val="Normal"/>
        <w:rPr/>
      </w:pPr>
      <w:r>
        <w:rPr/>
        <w:t>Email: &lt;martha.wells@williams.com&gt;</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Williams Terminal Holdings, LLC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BodyText"/>
              <w:widowControl/>
              <w:snapToGrid w:val="false"/>
              <w:rPr>
                <w:bCs/>
              </w:rPr>
            </w:pPr>
            <w:r>
              <w:rPr>
                <w:bCs/>
              </w:rPr>
            </w:r>
          </w:p>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tc>
        <w:tc>
          <w:tcPr>
            <w:tcW w:w="6570" w:type="dxa"/>
            <w:tcBorders/>
          </w:tcPr>
          <w:p>
            <w:pPr>
              <w:pStyle w:val="BlockText"/>
              <w:snapToGrid w:val="false"/>
              <w:ind w:end="144"/>
              <w:rPr>
                <w:b/>
              </w:rPr>
            </w:pPr>
            <w:r>
              <w:rPr>
                <w:b/>
              </w:rPr>
            </w:r>
          </w:p>
          <w:p>
            <w:pPr>
              <w:pStyle w:val="BlockText"/>
              <w:ind w:end="144"/>
              <w:rPr/>
            </w:pPr>
            <w:r>
              <w:rPr/>
            </w:r>
          </w:p>
          <w:p>
            <w:pPr>
              <w:pStyle w:val="Normal"/>
              <w:ind w:start="-108" w:end="144"/>
              <w:rPr/>
            </w:pPr>
            <w:r>
              <w:rPr/>
              <w:t>100% of Customer’s total natural gas requirements each Day up to the MaxDQ.</w:t>
            </w:r>
          </w:p>
          <w:p>
            <w:pPr>
              <w:pStyle w:val="Normal"/>
              <w:ind w:start="-108" w:end="144"/>
              <w:rPr/>
            </w:pPr>
            <w:r>
              <w:rPr/>
            </w:r>
          </w:p>
          <w:p>
            <w:pPr>
              <w:pStyle w:val="Normal"/>
              <w:ind w:start="-108" w:end="144"/>
              <w:rPr/>
            </w:pPr>
            <w:r>
              <w:rPr/>
              <w:t>150 MMBtu per Day..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 meter #1351 located in Nueces County, Texas.</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rHeight w:val="2367" w:hRule="atLeast"/>
        </w:trPr>
        <w:tc>
          <w:tcPr>
            <w:tcW w:w="3168" w:type="dxa"/>
            <w:tcBorders/>
          </w:tcPr>
          <w:p>
            <w:pPr>
              <w:pStyle w:val="Normal"/>
              <w:rPr>
                <w:b/>
              </w:rPr>
            </w:pPr>
            <w:r>
              <w:rPr>
                <w:b/>
              </w:rPr>
              <w:t>CONTRACT PRICE:</w:t>
            </w:r>
          </w:p>
        </w:tc>
        <w:tc>
          <w:tcPr>
            <w:tcW w:w="6552" w:type="dxa"/>
            <w:tcBorders/>
          </w:tcPr>
          <w:p>
            <w:pPr>
              <w:pStyle w:val="Normal"/>
              <w:ind w:start="-115" w:end="144"/>
              <w:jc w:val="both"/>
              <w:rPr/>
            </w:pPr>
            <w:r>
              <w:rPr/>
              <w:t xml:space="preserve">The “Index Price” appearing in </w:t>
            </w:r>
            <w:r>
              <w:rPr>
                <w:u w:val="single"/>
              </w:rPr>
              <w:t>Inside F.E.R.C.’s Gas Market Report</w:t>
            </w:r>
            <w:r>
              <w:rPr/>
              <w:t xml:space="preserve"> from the table entitled Delivered Spot-Gas Prices, for Houston Ship Channel/Beaumont, Texas Indes (large packages only) as published in the first-of-the-month publication for the month of delivery plus a commodity differential of $1.00 per MMBtu.</w:t>
            </w:r>
          </w:p>
        </w:tc>
      </w:tr>
      <w:tr>
        <w:trPr/>
        <w:tc>
          <w:tcPr>
            <w:tcW w:w="3168" w:type="dxa"/>
            <w:tcBorders/>
          </w:tcPr>
          <w:p>
            <w:pPr>
              <w:pStyle w:val="Normal"/>
              <w:ind w:end="-108"/>
              <w:rPr>
                <w:b/>
              </w:rPr>
            </w:pPr>
            <w:r>
              <w:rPr>
                <w:b/>
              </w:rPr>
              <w:t>PERIOD OF DELIVERY:</w:t>
            </w:r>
          </w:p>
        </w:tc>
        <w:tc>
          <w:tcPr>
            <w:tcW w:w="6552" w:type="dxa"/>
            <w:tcBorders/>
          </w:tcPr>
          <w:p>
            <w:pPr>
              <w:pStyle w:val="Normal"/>
              <w:ind w:start="-108" w:end="144"/>
              <w:jc w:val="both"/>
              <w:rPr/>
            </w:pPr>
            <w:r>
              <w:rPr/>
              <w:t>May 1, 2000 through September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144"/>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Firm Confirmation is being provided pursuant to and in accordance with the ENFOLIO FIRM GENERAL TERMS &amp; CONDITIONS (the "</w:t>
      </w:r>
      <w:r>
        <w:rPr>
          <w:u w:val="single"/>
        </w:rPr>
        <w:t>Firm GTC</w:t>
      </w:r>
      <w:r>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pPr>
      <w:r>
        <w:rPr/>
      </w:r>
    </w:p>
    <w:p>
      <w:pPr>
        <w:pStyle w:val="Normal"/>
        <w:jc w:val="both"/>
        <w:rPr>
          <w:rFonts w:ascii="Arial Narrow" w:hAnsi="Arial Narrow" w:cs="Arial Narrow"/>
          <w:sz w:val="20"/>
        </w:rPr>
      </w:pPr>
      <w:r>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rPr>
        <w:t xml:space="preserve">  </w:t>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7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/mnt/main-storage/datasets/enron-docs/doc/2001_032crfm.doc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/mnt/main-storage/datasets/enron-docs/doc/2001_032crfm.doc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Williams Terminal Holdings, LLC</w:t>
    </w:r>
  </w:p>
  <w:p>
    <w:pPr>
      <w:pStyle w:val="Header"/>
      <w:rPr>
        <w:rFonts w:ascii="Times New Roman" w:hAnsi="Times New Roman" w:cs="Times New Roman"/>
        <w:sz w:val="22"/>
      </w:rPr>
    </w:pPr>
    <w:r>
      <w:rPr>
        <w:rFonts w:cs="Times New Roman" w:ascii="Times New Roman" w:hAnsi="Times New Roman"/>
        <w:sz w:val="22"/>
      </w:rPr>
      <w:t>April 5,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50027164"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2001-04-04T18:46:00Z</dcterms:created>
  <dc:creator>Daniel J. Hyvl</dc:creator>
  <dc:description/>
  <dc:language>en-CA</dc:language>
  <cp:lastModifiedBy>dhyvl</cp:lastModifiedBy>
  <cp:lastPrinted>2001-04-04T18:06:00Z</cp:lastPrinted>
  <dcterms:modified xsi:type="dcterms:W3CDTF">2001-04-04T20:36:00Z</dcterms:modified>
  <cp:revision>6</cp:revision>
  <dc:subject/>
  <dc:title>December 15, 1999</dc:title>
</cp:coreProperties>
</file>