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3600" w:start="3600" w:end="0"/>
        <w:jc w:val="center"/>
        <w:rPr>
          <w:sz w:val="22"/>
        </w:rPr>
      </w:pPr>
      <w:r>
        <w:rPr>
          <w:sz w:val="22"/>
        </w:rPr>
      </w:r>
    </w:p>
    <w:p>
      <w:pPr>
        <w:pStyle w:val="Normal"/>
        <w:ind w:hanging="3600" w:start="3600" w:end="0"/>
        <w:jc w:val="center"/>
        <w:rPr>
          <w:sz w:val="22"/>
        </w:rPr>
      </w:pPr>
      <w:r>
        <w:rPr>
          <w:sz w:val="22"/>
        </w:rPr>
      </w:r>
    </w:p>
    <w:p>
      <w:pPr>
        <w:pStyle w:val="Normal"/>
        <w:ind w:hanging="3600" w:start="3600" w:end="0"/>
        <w:jc w:val="center"/>
        <w:rPr>
          <w:sz w:val="22"/>
        </w:rPr>
      </w:pPr>
      <w:r>
        <w:rPr>
          <w:sz w:val="22"/>
        </w:rPr>
        <w:t>March 26, 2001</w:t>
      </w:r>
    </w:p>
    <w:p>
      <w:pPr>
        <w:pStyle w:val="Normal"/>
        <w:rPr>
          <w:sz w:val="22"/>
        </w:rPr>
      </w:pPr>
      <w:r>
        <w:rPr>
          <w:sz w:val="22"/>
        </w:rPr>
      </w:r>
    </w:p>
    <w:p>
      <w:pPr>
        <w:pStyle w:val="Normal"/>
        <w:rPr>
          <w:sz w:val="22"/>
        </w:rPr>
      </w:pPr>
      <w:r>
        <w:rPr>
          <w:sz w:val="22"/>
        </w:rPr>
        <w:t>Ms. Patricia Anderson</w:t>
      </w:r>
    </w:p>
    <w:p>
      <w:pPr>
        <w:pStyle w:val="Normal"/>
        <w:rPr>
          <w:sz w:val="22"/>
        </w:rPr>
      </w:pPr>
      <w:r>
        <w:rPr>
          <w:sz w:val="22"/>
        </w:rPr>
        <w:t>Gas Supply Manager – Texas/Florida</w:t>
      </w:r>
    </w:p>
    <w:p>
      <w:pPr>
        <w:pStyle w:val="Normal"/>
        <w:rPr>
          <w:sz w:val="22"/>
        </w:rPr>
      </w:pPr>
      <w:r>
        <w:rPr>
          <w:sz w:val="22"/>
        </w:rPr>
        <w:t>Southern Union Gas Company</w:t>
      </w:r>
    </w:p>
    <w:p>
      <w:pPr>
        <w:pStyle w:val="Normal"/>
        <w:rPr>
          <w:sz w:val="22"/>
        </w:rPr>
      </w:pPr>
      <w:r>
        <w:rPr>
          <w:sz w:val="22"/>
        </w:rPr>
        <w:t>504 Lavaca, Suite 800</w:t>
      </w:r>
    </w:p>
    <w:p>
      <w:pPr>
        <w:pStyle w:val="Normal"/>
        <w:rPr>
          <w:sz w:val="22"/>
        </w:rPr>
      </w:pPr>
      <w:r>
        <w:rPr>
          <w:sz w:val="22"/>
        </w:rPr>
        <w:t>Austin, Texas 78701</w:t>
      </w:r>
    </w:p>
    <w:p>
      <w:pPr>
        <w:pStyle w:val="Normal"/>
        <w:rPr>
          <w:sz w:val="22"/>
        </w:rPr>
      </w:pPr>
      <w:r>
        <w:rPr>
          <w:sz w:val="22"/>
        </w:rPr>
      </w:r>
    </w:p>
    <w:p>
      <w:pPr>
        <w:pStyle w:val="Normal"/>
        <w:rPr>
          <w:sz w:val="22"/>
        </w:rPr>
      </w:pPr>
      <w:r>
        <w:rPr>
          <w:sz w:val="22"/>
        </w:rPr>
        <w:t>Fax:  (512) 476-4966</w:t>
      </w:r>
    </w:p>
    <w:p>
      <w:pPr>
        <w:pStyle w:val="Normal"/>
        <w:rPr>
          <w:sz w:val="22"/>
        </w:rPr>
      </w:pPr>
      <w:r>
        <w:rPr>
          <w:sz w:val="22"/>
        </w:rPr>
      </w:r>
    </w:p>
    <w:p>
      <w:pPr>
        <w:pStyle w:val="Normal"/>
        <w:rPr>
          <w:sz w:val="22"/>
        </w:rPr>
      </w:pPr>
      <w:r>
        <w:rPr>
          <w:sz w:val="22"/>
        </w:rPr>
      </w:r>
    </w:p>
    <w:p>
      <w:pPr>
        <w:pStyle w:val="BodyText2"/>
        <w:rPr/>
      </w:pPr>
      <w:r>
        <w:rPr/>
        <w:t>ENFOLIO® FIRM CONFIRMATION -- ENFOLIO® FIRM GENERAL TERMS &amp; CONDITIONS GOVERN</w:t>
      </w:r>
    </w:p>
    <w:p>
      <w:pPr>
        <w:pStyle w:val="Normal"/>
        <w:rPr>
          <w:sz w:val="22"/>
        </w:rPr>
      </w:pPr>
      <w:r>
        <w:rPr>
          <w:sz w:val="22"/>
        </w:rPr>
      </w:r>
    </w:p>
    <w:p>
      <w:pPr>
        <w:pStyle w:val="Normal"/>
        <w:jc w:val="both"/>
        <w:rPr/>
      </w:pPr>
      <w:r>
        <w:rPr>
          <w:sz w:val="22"/>
        </w:rPr>
        <w:t xml:space="preserve">This Confirmation Agreement shall form and effectuate the Agreement between </w:t>
      </w:r>
      <w:r>
        <w:rPr>
          <w:b/>
          <w:sz w:val="22"/>
        </w:rPr>
        <w:t xml:space="preserve">Southern Union Gas Company, a division of Southern Union Company </w:t>
      </w:r>
      <w:r>
        <w:rPr>
          <w:sz w:val="22"/>
        </w:rPr>
        <w:t>(“</w:t>
      </w:r>
      <w:r>
        <w:rPr>
          <w:sz w:val="22"/>
          <w:u w:val="single"/>
        </w:rPr>
        <w:t>Customer</w:t>
      </w:r>
      <w:r>
        <w:rPr>
          <w:sz w:val="22"/>
        </w:rPr>
        <w:t>” or “</w:t>
      </w:r>
      <w:r>
        <w:rPr>
          <w:sz w:val="22"/>
          <w:u w:val="single"/>
        </w:rPr>
        <w:t>Buyer</w:t>
      </w:r>
      <w:r>
        <w:rPr>
          <w:sz w:val="22"/>
        </w:rPr>
        <w:t xml:space="preserve">”) and </w:t>
      </w:r>
      <w:r>
        <w:rPr>
          <w:b/>
          <w:sz w:val="22"/>
        </w:rPr>
        <w:t>Enron North America</w:t>
      </w:r>
      <w:r>
        <w:rPr>
          <w:sz w:val="22"/>
        </w:rPr>
        <w:t xml:space="preserve"> </w:t>
      </w:r>
      <w:r>
        <w:rPr>
          <w:b/>
          <w:sz w:val="22"/>
        </w:rPr>
        <w:t xml:space="preserve">Corp. </w:t>
      </w:r>
      <w:r>
        <w:rPr>
          <w:sz w:val="22"/>
        </w:rPr>
        <w:t>(“</w:t>
      </w:r>
      <w:r>
        <w:rPr>
          <w:sz w:val="22"/>
          <w:u w:val="single"/>
        </w:rPr>
        <w:t>Company</w:t>
      </w:r>
      <w:r>
        <w:rPr>
          <w:sz w:val="22"/>
        </w:rPr>
        <w:t>” or “</w:t>
      </w:r>
      <w:r>
        <w:rPr>
          <w:sz w:val="22"/>
          <w:u w:val="single"/>
        </w:rPr>
        <w:t>Seller</w:t>
      </w:r>
      <w:r>
        <w:rPr>
          <w:sz w:val="22"/>
        </w:rPr>
        <w:t>”) regarding the firm purchase and sale of Gas transaction under the following terms and conditions.  Customer to purchase and receive and Company to sell and deliver.</w:t>
      </w:r>
    </w:p>
    <w:p>
      <w:pPr>
        <w:pStyle w:val="Normal"/>
        <w:rPr>
          <w:sz w:val="22"/>
        </w:rPr>
      </w:pPr>
      <w:r>
        <w:rPr>
          <w:sz w:val="22"/>
        </w:rPr>
      </w:r>
    </w:p>
    <w:tbl>
      <w:tblPr>
        <w:tblW w:w="9720" w:type="dxa"/>
        <w:jc w:val="start"/>
        <w:tblInd w:w="0" w:type="dxa"/>
        <w:tblLayout w:type="fixed"/>
        <w:tblCellMar>
          <w:top w:w="0" w:type="dxa"/>
          <w:start w:w="108" w:type="dxa"/>
          <w:bottom w:w="0" w:type="dxa"/>
          <w:end w:w="108" w:type="dxa"/>
        </w:tblCellMar>
      </w:tblPr>
      <w:tblGrid>
        <w:gridCol w:w="3168"/>
        <w:gridCol w:w="6552"/>
      </w:tblGrid>
      <w:tr>
        <w:trPr/>
        <w:tc>
          <w:tcPr>
            <w:tcW w:w="3168" w:type="dxa"/>
            <w:tcBorders/>
          </w:tcPr>
          <w:p>
            <w:pPr>
              <w:pStyle w:val="Normal"/>
              <w:rPr>
                <w:b/>
                <w:sz w:val="22"/>
              </w:rPr>
            </w:pPr>
            <w:r>
              <w:rPr>
                <w:b/>
                <w:sz w:val="22"/>
              </w:rPr>
              <w:t>DESIGNATED QUANTITY:</w:t>
            </w:r>
          </w:p>
        </w:tc>
        <w:tc>
          <w:tcPr>
            <w:tcW w:w="6552" w:type="dxa"/>
            <w:tcBorders/>
          </w:tcPr>
          <w:p>
            <w:pPr>
              <w:pStyle w:val="Normal"/>
              <w:ind w:start="-108" w:end="-144"/>
              <w:rPr>
                <w:sz w:val="22"/>
              </w:rPr>
            </w:pPr>
            <w:r>
              <w:rPr>
                <w:sz w:val="22"/>
              </w:rPr>
              <w:t>5,000 MMBtu/Day</w:t>
            </w:r>
          </w:p>
        </w:tc>
      </w:tr>
      <w:tr>
        <w:trPr/>
        <w:tc>
          <w:tcPr>
            <w:tcW w:w="3168" w:type="dxa"/>
            <w:tcBorders/>
          </w:tcPr>
          <w:p>
            <w:pPr>
              <w:pStyle w:val="Normal"/>
              <w:snapToGrid w:val="false"/>
              <w:rPr>
                <w:sz w:val="22"/>
              </w:rPr>
            </w:pPr>
            <w:r>
              <w:rPr>
                <w:sz w:val="22"/>
              </w:rPr>
            </w:r>
          </w:p>
        </w:tc>
        <w:tc>
          <w:tcPr>
            <w:tcW w:w="6552" w:type="dxa"/>
            <w:tcBorders/>
          </w:tcPr>
          <w:p>
            <w:pPr>
              <w:pStyle w:val="Normal"/>
              <w:snapToGrid w:val="false"/>
              <w:ind w:start="-108" w:end="-144"/>
              <w:rPr>
                <w:sz w:val="22"/>
              </w:rPr>
            </w:pPr>
            <w:r>
              <w:rPr>
                <w:sz w:val="22"/>
              </w:rPr>
            </w:r>
          </w:p>
        </w:tc>
      </w:tr>
      <w:tr>
        <w:trPr/>
        <w:tc>
          <w:tcPr>
            <w:tcW w:w="3168" w:type="dxa"/>
            <w:tcBorders/>
          </w:tcPr>
          <w:p>
            <w:pPr>
              <w:pStyle w:val="Normal"/>
              <w:rPr>
                <w:b/>
                <w:sz w:val="22"/>
              </w:rPr>
            </w:pPr>
            <w:r>
              <w:rPr>
                <w:b/>
                <w:sz w:val="22"/>
              </w:rPr>
              <w:t>MaxDQ:</w:t>
            </w:r>
          </w:p>
        </w:tc>
        <w:tc>
          <w:tcPr>
            <w:tcW w:w="6552" w:type="dxa"/>
            <w:tcBorders/>
          </w:tcPr>
          <w:p>
            <w:pPr>
              <w:pStyle w:val="Normal"/>
              <w:ind w:start="-108" w:end="-144"/>
              <w:jc w:val="both"/>
              <w:rPr>
                <w:sz w:val="22"/>
              </w:rPr>
            </w:pPr>
            <w:r>
              <w:rPr>
                <w:sz w:val="22"/>
              </w:rPr>
              <w:t>10,000 MMBtu/Day</w:t>
            </w:r>
          </w:p>
        </w:tc>
      </w:tr>
      <w:tr>
        <w:trPr/>
        <w:tc>
          <w:tcPr>
            <w:tcW w:w="3168" w:type="dxa"/>
            <w:tcBorders/>
          </w:tcPr>
          <w:p>
            <w:pPr>
              <w:pStyle w:val="Normal"/>
              <w:snapToGrid w:val="false"/>
              <w:rPr>
                <w:sz w:val="22"/>
              </w:rPr>
            </w:pPr>
            <w:r>
              <w:rPr>
                <w:sz w:val="22"/>
              </w:rPr>
            </w:r>
          </w:p>
        </w:tc>
        <w:tc>
          <w:tcPr>
            <w:tcW w:w="6552" w:type="dxa"/>
            <w:tcBorders/>
          </w:tcPr>
          <w:p>
            <w:pPr>
              <w:pStyle w:val="Normal"/>
              <w:snapToGrid w:val="false"/>
              <w:ind w:start="-108" w:end="-144"/>
              <w:rPr>
                <w:sz w:val="22"/>
              </w:rPr>
            </w:pPr>
            <w:r>
              <w:rPr>
                <w:sz w:val="22"/>
              </w:rPr>
            </w:r>
          </w:p>
        </w:tc>
      </w:tr>
      <w:tr>
        <w:trPr/>
        <w:tc>
          <w:tcPr>
            <w:tcW w:w="3168" w:type="dxa"/>
            <w:tcBorders/>
          </w:tcPr>
          <w:p>
            <w:pPr>
              <w:pStyle w:val="Normal"/>
              <w:rPr>
                <w:sz w:val="22"/>
              </w:rPr>
            </w:pPr>
            <w:r>
              <w:rPr>
                <w:b/>
                <w:sz w:val="22"/>
              </w:rPr>
              <w:t>DELIVERY POINTS:</w:t>
            </w:r>
          </w:p>
        </w:tc>
        <w:tc>
          <w:tcPr>
            <w:tcW w:w="6552" w:type="dxa"/>
            <w:tcBorders/>
          </w:tcPr>
          <w:p>
            <w:pPr>
              <w:pStyle w:val="Normal"/>
              <w:ind w:start="-108" w:end="144"/>
              <w:jc w:val="both"/>
              <w:rPr>
                <w:sz w:val="22"/>
              </w:rPr>
            </w:pPr>
            <w:r>
              <w:rPr>
                <w:sz w:val="22"/>
              </w:rPr>
              <w:t>El Paso/San Juan Pool.</w:t>
            </w:r>
          </w:p>
        </w:tc>
      </w:tr>
      <w:tr>
        <w:trPr/>
        <w:tc>
          <w:tcPr>
            <w:tcW w:w="3168" w:type="dxa"/>
            <w:tcBorders/>
          </w:tcPr>
          <w:p>
            <w:pPr>
              <w:pStyle w:val="Normal"/>
              <w:snapToGrid w:val="false"/>
              <w:rPr>
                <w:sz w:val="22"/>
              </w:rPr>
            </w:pPr>
            <w:r>
              <w:rPr>
                <w:sz w:val="22"/>
              </w:rPr>
            </w:r>
          </w:p>
        </w:tc>
        <w:tc>
          <w:tcPr>
            <w:tcW w:w="6552" w:type="dxa"/>
            <w:tcBorders/>
          </w:tcPr>
          <w:p>
            <w:pPr>
              <w:pStyle w:val="Normal"/>
              <w:snapToGrid w:val="false"/>
              <w:ind w:start="-108" w:end="-144"/>
              <w:rPr>
                <w:sz w:val="22"/>
              </w:rPr>
            </w:pPr>
            <w:r>
              <w:rPr>
                <w:sz w:val="22"/>
              </w:rPr>
            </w:r>
          </w:p>
        </w:tc>
      </w:tr>
      <w:tr>
        <w:trPr/>
        <w:tc>
          <w:tcPr>
            <w:tcW w:w="3168" w:type="dxa"/>
            <w:tcBorders/>
          </w:tcPr>
          <w:p>
            <w:pPr>
              <w:pStyle w:val="Normal"/>
              <w:rPr>
                <w:b/>
                <w:sz w:val="22"/>
              </w:rPr>
            </w:pPr>
            <w:r>
              <w:rPr>
                <w:b/>
                <w:sz w:val="22"/>
              </w:rPr>
              <w:t>CONTRACT PRICE (per MMBtu):</w:t>
            </w:r>
          </w:p>
        </w:tc>
        <w:tc>
          <w:tcPr>
            <w:tcW w:w="6552" w:type="dxa"/>
            <w:tcBorders/>
          </w:tcPr>
          <w:p>
            <w:pPr>
              <w:pStyle w:val="BlockText"/>
              <w:rPr/>
            </w:pPr>
            <w:r>
              <w:rPr/>
              <w:t>1)  The Contract Price for the Designated Quantity shall be $4.83 per MMBtu.</w:t>
            </w:r>
          </w:p>
          <w:p>
            <w:pPr>
              <w:pStyle w:val="Normal"/>
              <w:ind w:start="-108" w:end="144"/>
              <w:jc w:val="both"/>
              <w:rPr/>
            </w:pPr>
            <w:r>
              <w:rPr>
                <w:sz w:val="22"/>
              </w:rPr>
              <w:t xml:space="preserve">2)  The Contract Price for all additional quantities in excess of the Designated Quantity each Day up to the MaxDQ shall be the Spot Price (MidPoint) plus $0.02 per MMBtu. The term “Spot Price (Midpoint)” means the Spot Price (Midpoint) set forth in </w:t>
            </w:r>
            <w:r>
              <w:rPr>
                <w:sz w:val="22"/>
                <w:u w:val="single"/>
              </w:rPr>
              <w:t>Gas Daily</w:t>
            </w:r>
            <w:r>
              <w:rPr>
                <w:sz w:val="22"/>
              </w:rPr>
              <w:t>® (Financial Times Energy), or successor publication, in the column “Daily Price Survey” under San Juan -Bondad as reported for the Gas Day on which the Gas flowed; provided, if there is no midpoint price published on such day, then the Spot Price (Midpoint) shall be deemed the midpoint price for the next day for which a Spot Price (Midpoint) can be determined in accordance herewith, and the term “Gas Day” means the Day the Gas flowed.</w:t>
            </w:r>
          </w:p>
        </w:tc>
      </w:tr>
      <w:tr>
        <w:trPr/>
        <w:tc>
          <w:tcPr>
            <w:tcW w:w="3168" w:type="dxa"/>
            <w:tcBorders/>
          </w:tcPr>
          <w:p>
            <w:pPr>
              <w:pStyle w:val="Normal"/>
              <w:snapToGrid w:val="false"/>
              <w:rPr>
                <w:sz w:val="22"/>
              </w:rPr>
            </w:pPr>
            <w:r>
              <w:rPr>
                <w:sz w:val="22"/>
              </w:rPr>
            </w:r>
          </w:p>
        </w:tc>
        <w:tc>
          <w:tcPr>
            <w:tcW w:w="6552" w:type="dxa"/>
            <w:tcBorders/>
          </w:tcPr>
          <w:p>
            <w:pPr>
              <w:pStyle w:val="Normal"/>
              <w:snapToGrid w:val="false"/>
              <w:ind w:start="-108" w:end="0"/>
              <w:rPr>
                <w:sz w:val="22"/>
              </w:rPr>
            </w:pPr>
            <w:r>
              <w:rPr>
                <w:sz w:val="22"/>
              </w:rPr>
            </w:r>
          </w:p>
        </w:tc>
      </w:tr>
      <w:tr>
        <w:trPr/>
        <w:tc>
          <w:tcPr>
            <w:tcW w:w="3168" w:type="dxa"/>
            <w:tcBorders/>
          </w:tcPr>
          <w:p>
            <w:pPr>
              <w:pStyle w:val="Normal"/>
              <w:rPr>
                <w:b/>
                <w:sz w:val="22"/>
              </w:rPr>
            </w:pPr>
            <w:r>
              <w:rPr>
                <w:b/>
                <w:sz w:val="22"/>
              </w:rPr>
              <w:t>PERIOD OF DELIVERY:</w:t>
            </w:r>
          </w:p>
        </w:tc>
        <w:tc>
          <w:tcPr>
            <w:tcW w:w="6552" w:type="dxa"/>
            <w:tcBorders/>
          </w:tcPr>
          <w:p>
            <w:pPr>
              <w:pStyle w:val="Normal"/>
              <w:ind w:start="-108" w:end="0"/>
              <w:rPr>
                <w:sz w:val="22"/>
              </w:rPr>
            </w:pPr>
            <w:r>
              <w:rPr>
                <w:sz w:val="22"/>
              </w:rPr>
              <w:t>April 1, 2001 through June 30, 2001.</w:t>
            </w:r>
          </w:p>
        </w:tc>
      </w:tr>
      <w:tr>
        <w:trPr/>
        <w:tc>
          <w:tcPr>
            <w:tcW w:w="3168" w:type="dxa"/>
            <w:tcBorders/>
          </w:tcPr>
          <w:p>
            <w:pPr>
              <w:pStyle w:val="Normal"/>
              <w:snapToGrid w:val="false"/>
              <w:rPr>
                <w:sz w:val="22"/>
              </w:rPr>
            </w:pPr>
            <w:r>
              <w:rPr>
                <w:sz w:val="22"/>
              </w:rPr>
            </w:r>
          </w:p>
        </w:tc>
        <w:tc>
          <w:tcPr>
            <w:tcW w:w="6552" w:type="dxa"/>
            <w:tcBorders/>
          </w:tcPr>
          <w:p>
            <w:pPr>
              <w:pStyle w:val="Normal"/>
              <w:snapToGrid w:val="false"/>
              <w:ind w:start="-108" w:end="0"/>
              <w:rPr>
                <w:sz w:val="22"/>
              </w:rPr>
            </w:pPr>
            <w:r>
              <w:rPr>
                <w:sz w:val="22"/>
              </w:rPr>
            </w:r>
          </w:p>
        </w:tc>
      </w:tr>
      <w:tr>
        <w:trPr/>
        <w:tc>
          <w:tcPr>
            <w:tcW w:w="3168" w:type="dxa"/>
            <w:tcBorders/>
          </w:tcPr>
          <w:p>
            <w:pPr>
              <w:pStyle w:val="Normal"/>
              <w:jc w:val="both"/>
              <w:rPr>
                <w:sz w:val="22"/>
              </w:rPr>
            </w:pPr>
            <w:r>
              <w:rPr>
                <w:b/>
                <w:sz w:val="22"/>
              </w:rPr>
              <w:t>SPOT PRICE LOCATION:</w:t>
            </w:r>
          </w:p>
        </w:tc>
        <w:tc>
          <w:tcPr>
            <w:tcW w:w="6552" w:type="dxa"/>
            <w:tcBorders/>
          </w:tcPr>
          <w:p>
            <w:pPr>
              <w:pStyle w:val="Normal"/>
              <w:ind w:start="-90" w:end="0"/>
              <w:jc w:val="both"/>
              <w:rPr>
                <w:sz w:val="22"/>
              </w:rPr>
            </w:pPr>
            <w:r>
              <w:rPr>
                <w:sz w:val="22"/>
              </w:rPr>
              <w:t>San Juan Basin</w:t>
            </w:r>
          </w:p>
        </w:tc>
      </w:tr>
      <w:tr>
        <w:trPr/>
        <w:tc>
          <w:tcPr>
            <w:tcW w:w="3168" w:type="dxa"/>
            <w:tcBorders/>
          </w:tcPr>
          <w:p>
            <w:pPr>
              <w:pStyle w:val="Normal"/>
              <w:snapToGrid w:val="false"/>
              <w:rPr>
                <w:sz w:val="22"/>
              </w:rPr>
            </w:pPr>
            <w:r>
              <w:rPr>
                <w:sz w:val="22"/>
              </w:rPr>
            </w:r>
          </w:p>
        </w:tc>
        <w:tc>
          <w:tcPr>
            <w:tcW w:w="6552" w:type="dxa"/>
            <w:tcBorders/>
          </w:tcPr>
          <w:p>
            <w:pPr>
              <w:pStyle w:val="Normal"/>
              <w:snapToGrid w:val="false"/>
              <w:ind w:start="-108" w:end="0"/>
              <w:jc w:val="both"/>
              <w:rPr>
                <w:sz w:val="22"/>
              </w:rPr>
            </w:pPr>
            <w:r>
              <w:rPr>
                <w:sz w:val="22"/>
              </w:rPr>
            </w:r>
          </w:p>
        </w:tc>
      </w:tr>
      <w:tr>
        <w:trPr/>
        <w:tc>
          <w:tcPr>
            <w:tcW w:w="3168" w:type="dxa"/>
            <w:tcBorders/>
          </w:tcPr>
          <w:p>
            <w:pPr>
              <w:pStyle w:val="Normal"/>
              <w:rPr>
                <w:b/>
                <w:sz w:val="22"/>
              </w:rPr>
            </w:pPr>
            <w:r>
              <w:rPr>
                <w:b/>
                <w:sz w:val="22"/>
              </w:rPr>
              <w:t>OTHER:</w:t>
            </w:r>
          </w:p>
        </w:tc>
        <w:tc>
          <w:tcPr>
            <w:tcW w:w="6552" w:type="dxa"/>
            <w:tcBorders/>
          </w:tcPr>
          <w:p>
            <w:pPr>
              <w:pStyle w:val="BodyText"/>
              <w:ind w:start="-90" w:end="144"/>
              <w:rPr/>
            </w:pPr>
            <w:r>
              <w:rPr/>
              <w:t xml:space="preserve">1.  Customer  agrees to nominate 10,000 MMBtu per Day each Day during the Period of Delivery.  The first 5,000 MMBtu per Day  shall be Firm Volumes and the next 5,000 MMBtu per Day will be on a best efforts basis.  It is understood that Company cannot guarantee deliveries out of the San Juan Pool and any Firm Volumes that do not flow will be considered a Default Quantity and shall be subject to the deficency charge under the terms of the attached GTC.  Best efforts gas that is nominated but does not flow will not be considered to be a Default Quantity and shall not be subject to any deficiency charge.  </w:t>
            </w:r>
          </w:p>
          <w:p>
            <w:pPr>
              <w:pStyle w:val="BodyText"/>
              <w:ind w:start="-90" w:end="144"/>
              <w:rPr/>
            </w:pPr>
            <w:r>
              <w:rPr/>
              <w:t>2.  Nominations shall be due by 9:15 a.m. CCT one day prior to the day of flow.  Nominations for the weekend shall be equal for each day of the period from Saturday through Monday and shall be due on Friday by 9:15 a.m. CCT for flow Saturday through Monday.  If no nomination is received by 9:15 a.m. CCT, then the previous day’s nominated volumes will prevail.  If Customer reduces its nomination after the 9:15 CCT deadline or if volumes are nominated but are not taken, then such reduction or failure to take shall be considered a Default Quantity.</w:t>
            </w:r>
          </w:p>
          <w:p>
            <w:pPr>
              <w:pStyle w:val="Normal"/>
              <w:ind w:start="-108" w:end="0"/>
              <w:jc w:val="both"/>
              <w:rPr>
                <w:sz w:val="22"/>
              </w:rPr>
            </w:pPr>
            <w:r>
              <w:rPr>
                <w:sz w:val="22"/>
              </w:rPr>
            </w:r>
          </w:p>
          <w:p>
            <w:pPr>
              <w:pStyle w:val="Normal"/>
              <w:ind w:start="-108" w:end="0"/>
              <w:jc w:val="both"/>
              <w:rPr>
                <w:b/>
                <w:sz w:val="22"/>
              </w:rPr>
            </w:pPr>
            <w:r>
              <w:rPr>
                <w:b/>
                <w:sz w:val="22"/>
              </w:rPr>
              <w:t>Notice and Communication to Company:</w:t>
            </w:r>
          </w:p>
          <w:p>
            <w:pPr>
              <w:pStyle w:val="Normal"/>
              <w:ind w:start="-108" w:end="0"/>
              <w:jc w:val="both"/>
              <w:rPr>
                <w:sz w:val="22"/>
              </w:rPr>
            </w:pPr>
            <w:r>
              <w:rPr>
                <w:sz w:val="22"/>
              </w:rPr>
              <w:t>Enron North America Corp.</w:t>
            </w:r>
          </w:p>
          <w:p>
            <w:pPr>
              <w:pStyle w:val="Normal"/>
              <w:ind w:start="-108" w:end="0"/>
              <w:jc w:val="both"/>
              <w:rPr>
                <w:sz w:val="22"/>
              </w:rPr>
            </w:pPr>
            <w:r>
              <w:rPr>
                <w:sz w:val="22"/>
              </w:rPr>
              <w:t>P.O. Box 4428</w:t>
            </w:r>
          </w:p>
          <w:p>
            <w:pPr>
              <w:pStyle w:val="Normal"/>
              <w:ind w:start="-108" w:end="0"/>
              <w:jc w:val="both"/>
              <w:rPr>
                <w:sz w:val="22"/>
              </w:rPr>
            </w:pPr>
            <w:r>
              <w:rPr>
                <w:sz w:val="22"/>
              </w:rPr>
              <w:t>Houston, TX  77210-4428</w:t>
            </w:r>
          </w:p>
          <w:p>
            <w:pPr>
              <w:pStyle w:val="Normal"/>
              <w:ind w:start="-108" w:end="0"/>
              <w:jc w:val="both"/>
              <w:rPr>
                <w:sz w:val="22"/>
              </w:rPr>
            </w:pPr>
            <w:r>
              <w:rPr>
                <w:sz w:val="22"/>
              </w:rPr>
              <w:t>Attn:  Confirmation / Documentation</w:t>
            </w:r>
          </w:p>
          <w:p>
            <w:pPr>
              <w:pStyle w:val="Normal"/>
              <w:ind w:start="-108" w:end="0"/>
              <w:jc w:val="both"/>
              <w:rPr>
                <w:sz w:val="22"/>
              </w:rPr>
            </w:pPr>
            <w:r>
              <w:rPr>
                <w:sz w:val="22"/>
              </w:rPr>
              <w:t>Facsimile No.  713-646-4816</w:t>
            </w:r>
          </w:p>
          <w:p>
            <w:pPr>
              <w:pStyle w:val="Normal"/>
              <w:ind w:start="-108" w:end="0"/>
              <w:jc w:val="both"/>
              <w:rPr>
                <w:sz w:val="22"/>
              </w:rPr>
            </w:pPr>
            <w:r>
              <w:rPr>
                <w:sz w:val="22"/>
              </w:rPr>
            </w:r>
          </w:p>
          <w:p>
            <w:pPr>
              <w:pStyle w:val="Normal"/>
              <w:ind w:start="-108" w:end="0"/>
              <w:jc w:val="both"/>
              <w:rPr>
                <w:b/>
                <w:sz w:val="22"/>
              </w:rPr>
            </w:pPr>
            <w:r>
              <w:rPr>
                <w:b/>
                <w:sz w:val="22"/>
              </w:rPr>
              <w:t>Billing, Invoices and Accounting Notices:</w:t>
            </w:r>
          </w:p>
          <w:p>
            <w:pPr>
              <w:pStyle w:val="Normal"/>
              <w:ind w:start="-108" w:end="0"/>
              <w:jc w:val="both"/>
              <w:rPr>
                <w:sz w:val="22"/>
              </w:rPr>
            </w:pPr>
            <w:r>
              <w:rPr>
                <w:sz w:val="22"/>
              </w:rPr>
              <w:t>Enron North America Corp.</w:t>
            </w:r>
          </w:p>
          <w:p>
            <w:pPr>
              <w:pStyle w:val="Normal"/>
              <w:ind w:start="-108" w:end="0"/>
              <w:jc w:val="both"/>
              <w:rPr>
                <w:sz w:val="22"/>
              </w:rPr>
            </w:pPr>
            <w:r>
              <w:rPr>
                <w:sz w:val="22"/>
              </w:rPr>
              <w:t>P.O. Box 4428</w:t>
            </w:r>
          </w:p>
          <w:p>
            <w:pPr>
              <w:pStyle w:val="Normal"/>
              <w:ind w:start="-108" w:end="0"/>
              <w:jc w:val="both"/>
              <w:rPr>
                <w:sz w:val="22"/>
              </w:rPr>
            </w:pPr>
            <w:r>
              <w:rPr>
                <w:sz w:val="22"/>
              </w:rPr>
              <w:t>Houston, TX  77210-4428</w:t>
            </w:r>
          </w:p>
          <w:p>
            <w:pPr>
              <w:pStyle w:val="Normal"/>
              <w:ind w:start="-108" w:end="0"/>
              <w:jc w:val="both"/>
              <w:rPr>
                <w:sz w:val="22"/>
              </w:rPr>
            </w:pPr>
            <w:r>
              <w:rPr>
                <w:sz w:val="22"/>
              </w:rPr>
              <w:t>Attn:  Contract Settlement</w:t>
            </w:r>
          </w:p>
          <w:p>
            <w:pPr>
              <w:pStyle w:val="Normal"/>
              <w:ind w:start="-108" w:end="0"/>
              <w:jc w:val="both"/>
              <w:rPr>
                <w:sz w:val="22"/>
              </w:rPr>
            </w:pPr>
            <w:r>
              <w:rPr>
                <w:sz w:val="22"/>
              </w:rPr>
              <w:t>Facsimile No.  713-646-8420</w:t>
            </w:r>
          </w:p>
          <w:p>
            <w:pPr>
              <w:pStyle w:val="Normal"/>
              <w:ind w:start="-108" w:end="0"/>
              <w:jc w:val="both"/>
              <w:rPr>
                <w:sz w:val="22"/>
              </w:rPr>
            </w:pPr>
            <w:r>
              <w:rPr>
                <w:sz w:val="22"/>
              </w:rPr>
            </w:r>
          </w:p>
        </w:tc>
      </w:tr>
      <w:tr>
        <w:trPr/>
        <w:tc>
          <w:tcPr>
            <w:tcW w:w="3168" w:type="dxa"/>
            <w:tcBorders/>
          </w:tcPr>
          <w:p>
            <w:pPr>
              <w:pStyle w:val="Normal"/>
              <w:snapToGrid w:val="false"/>
              <w:rPr>
                <w:sz w:val="22"/>
              </w:rPr>
            </w:pPr>
            <w:r>
              <w:rPr>
                <w:sz w:val="22"/>
              </w:rPr>
            </w:r>
          </w:p>
        </w:tc>
        <w:tc>
          <w:tcPr>
            <w:tcW w:w="6552" w:type="dxa"/>
            <w:tcBorders/>
          </w:tcPr>
          <w:p>
            <w:pPr>
              <w:pStyle w:val="BodyText"/>
              <w:widowControl/>
              <w:ind w:start="-108" w:end="0"/>
              <w:rPr>
                <w:b/>
              </w:rPr>
            </w:pPr>
            <w:r>
              <w:rPr>
                <w:b/>
              </w:rPr>
              <w:t>Payments to Company:</w:t>
            </w:r>
          </w:p>
          <w:p>
            <w:pPr>
              <w:pStyle w:val="Normal"/>
              <w:ind w:start="-108" w:end="0"/>
              <w:jc w:val="both"/>
              <w:rPr>
                <w:sz w:val="22"/>
              </w:rPr>
            </w:pPr>
            <w:r>
              <w:rPr>
                <w:sz w:val="22"/>
              </w:rPr>
              <w:t>Enron North America Corp.</w:t>
            </w:r>
          </w:p>
          <w:p>
            <w:pPr>
              <w:pStyle w:val="Normal"/>
              <w:ind w:start="-108" w:end="0"/>
              <w:jc w:val="both"/>
              <w:rPr>
                <w:sz w:val="22"/>
              </w:rPr>
            </w:pPr>
            <w:r>
              <w:rPr>
                <w:sz w:val="22"/>
              </w:rPr>
              <w:t xml:space="preserve">ABA Routing 111000012 Bank of America </w:t>
            </w:r>
          </w:p>
          <w:p>
            <w:pPr>
              <w:pStyle w:val="Normal"/>
              <w:ind w:start="-108" w:end="0"/>
              <w:jc w:val="both"/>
              <w:rPr>
                <w:sz w:val="22"/>
              </w:rPr>
            </w:pPr>
            <w:r>
              <w:rPr>
                <w:sz w:val="22"/>
              </w:rPr>
              <w:t>Account 3750494099</w:t>
            </w:r>
          </w:p>
          <w:p>
            <w:pPr>
              <w:pStyle w:val="Normal"/>
              <w:ind w:start="-108" w:end="0"/>
              <w:jc w:val="both"/>
              <w:rPr>
                <w:sz w:val="22"/>
              </w:rPr>
            </w:pPr>
            <w:r>
              <w:rPr>
                <w:sz w:val="22"/>
              </w:rPr>
            </w:r>
          </w:p>
          <w:p>
            <w:pPr>
              <w:pStyle w:val="Normal"/>
              <w:ind w:start="-108" w:end="0"/>
              <w:jc w:val="both"/>
              <w:rPr>
                <w:b/>
                <w:sz w:val="22"/>
              </w:rPr>
            </w:pPr>
            <w:r>
              <w:rPr>
                <w:b/>
                <w:sz w:val="22"/>
              </w:rPr>
              <w:t>Nominations to Company:</w:t>
            </w:r>
          </w:p>
          <w:p>
            <w:pPr>
              <w:pStyle w:val="Normal"/>
              <w:ind w:start="-108" w:end="0"/>
              <w:jc w:val="both"/>
              <w:rPr>
                <w:sz w:val="22"/>
              </w:rPr>
            </w:pPr>
            <w:r>
              <w:rPr>
                <w:sz w:val="22"/>
              </w:rPr>
              <w:t>1(800)356-9427/1(800)FLOWGAS</w:t>
            </w:r>
          </w:p>
          <w:p>
            <w:pPr>
              <w:pStyle w:val="Normal"/>
              <w:ind w:start="-108" w:end="0"/>
              <w:jc w:val="both"/>
              <w:rPr>
                <w:b/>
                <w:sz w:val="22"/>
              </w:rPr>
            </w:pPr>
            <w:r>
              <w:rPr>
                <w:b/>
                <w:sz w:val="22"/>
              </w:rPr>
              <w:t>Scheduling Confirmations to Company:</w:t>
            </w:r>
          </w:p>
          <w:p>
            <w:pPr>
              <w:pStyle w:val="Normal"/>
              <w:ind w:start="-108" w:end="0"/>
              <w:jc w:val="both"/>
              <w:rPr>
                <w:sz w:val="22"/>
              </w:rPr>
            </w:pPr>
            <w:r>
              <w:rPr>
                <w:sz w:val="22"/>
              </w:rPr>
              <w:t>Attn:  ENA Gas Trading</w:t>
            </w:r>
          </w:p>
          <w:p>
            <w:pPr>
              <w:pStyle w:val="Normal"/>
              <w:ind w:start="-108" w:end="0"/>
              <w:jc w:val="both"/>
              <w:rPr>
                <w:sz w:val="22"/>
              </w:rPr>
            </w:pPr>
            <w:r>
              <w:rPr>
                <w:sz w:val="22"/>
              </w:rPr>
              <w:t>Facsimile No. (713) 646-2531</w:t>
            </w:r>
          </w:p>
          <w:p>
            <w:pPr>
              <w:pStyle w:val="Normal"/>
              <w:ind w:start="-108" w:end="0"/>
              <w:rPr>
                <w:sz w:val="22"/>
              </w:rPr>
            </w:pPr>
            <w:r>
              <w:rPr>
                <w:sz w:val="22"/>
              </w:rPr>
            </w:r>
          </w:p>
        </w:tc>
      </w:tr>
      <w:tr>
        <w:trPr/>
        <w:tc>
          <w:tcPr>
            <w:tcW w:w="3168" w:type="dxa"/>
            <w:tcBorders/>
          </w:tcPr>
          <w:p>
            <w:pPr>
              <w:pStyle w:val="Normal"/>
              <w:snapToGrid w:val="false"/>
              <w:rPr>
                <w:sz w:val="22"/>
              </w:rPr>
            </w:pPr>
            <w:r>
              <w:rPr>
                <w:sz w:val="22"/>
              </w:rPr>
            </w:r>
          </w:p>
        </w:tc>
        <w:tc>
          <w:tcPr>
            <w:tcW w:w="6552" w:type="dxa"/>
            <w:tcBorders/>
          </w:tcPr>
          <w:p>
            <w:pPr>
              <w:pStyle w:val="Normal"/>
              <w:widowControl w:val="false"/>
              <w:ind w:start="-108" w:end="0"/>
              <w:rPr>
                <w:b/>
                <w:sz w:val="22"/>
              </w:rPr>
            </w:pPr>
            <w:r>
              <w:rPr>
                <w:b/>
                <w:sz w:val="22"/>
              </w:rPr>
              <w:t>Notice and Communication to Customer:</w:t>
            </w:r>
          </w:p>
          <w:p>
            <w:pPr>
              <w:pStyle w:val="Normal"/>
              <w:ind w:start="-90" w:end="0"/>
              <w:rPr>
                <w:sz w:val="22"/>
              </w:rPr>
            </w:pPr>
            <w:r>
              <w:rPr>
                <w:sz w:val="22"/>
              </w:rPr>
              <w:t>Southern Union Gas Company</w:t>
            </w:r>
          </w:p>
          <w:p>
            <w:pPr>
              <w:pStyle w:val="Normal"/>
              <w:ind w:start="-90" w:end="0"/>
              <w:rPr>
                <w:sz w:val="22"/>
              </w:rPr>
            </w:pPr>
            <w:r>
              <w:rPr>
                <w:sz w:val="22"/>
              </w:rPr>
              <w:t>504 Lavaca, Suite 800</w:t>
            </w:r>
          </w:p>
          <w:p>
            <w:pPr>
              <w:pStyle w:val="Normal"/>
              <w:ind w:start="-90" w:end="0"/>
              <w:rPr>
                <w:sz w:val="22"/>
              </w:rPr>
            </w:pPr>
            <w:r>
              <w:rPr>
                <w:sz w:val="22"/>
              </w:rPr>
              <w:t>Austin, Texas 78701</w:t>
            </w:r>
          </w:p>
          <w:p>
            <w:pPr>
              <w:pStyle w:val="Normal"/>
              <w:ind w:start="-90" w:end="0"/>
              <w:rPr>
                <w:sz w:val="22"/>
              </w:rPr>
            </w:pPr>
            <w:r>
              <w:rPr>
                <w:sz w:val="22"/>
              </w:rPr>
            </w:r>
          </w:p>
          <w:p>
            <w:pPr>
              <w:pStyle w:val="Normal"/>
              <w:widowControl w:val="false"/>
              <w:ind w:start="-90" w:end="0"/>
              <w:rPr>
                <w:sz w:val="22"/>
              </w:rPr>
            </w:pPr>
            <w:r>
              <w:rPr>
                <w:sz w:val="22"/>
              </w:rPr>
              <w:t>Facsimile No. (512) 476-4966</w:t>
            </w:r>
          </w:p>
          <w:p>
            <w:pPr>
              <w:pStyle w:val="Normal"/>
              <w:widowControl w:val="false"/>
              <w:ind w:start="-108" w:end="0"/>
              <w:rPr>
                <w:sz w:val="22"/>
              </w:rPr>
            </w:pPr>
            <w:r>
              <w:rPr>
                <w:sz w:val="22"/>
              </w:rPr>
            </w:r>
          </w:p>
        </w:tc>
      </w:tr>
      <w:tr>
        <w:trPr/>
        <w:tc>
          <w:tcPr>
            <w:tcW w:w="3168" w:type="dxa"/>
            <w:tcBorders/>
          </w:tcPr>
          <w:p>
            <w:pPr>
              <w:pStyle w:val="Normal"/>
              <w:snapToGrid w:val="false"/>
              <w:rPr>
                <w:sz w:val="22"/>
              </w:rPr>
            </w:pPr>
            <w:r>
              <w:rPr>
                <w:sz w:val="22"/>
              </w:rPr>
            </w:r>
          </w:p>
        </w:tc>
        <w:tc>
          <w:tcPr>
            <w:tcW w:w="6552" w:type="dxa"/>
            <w:tcBorders/>
          </w:tcPr>
          <w:p>
            <w:pPr>
              <w:pStyle w:val="Normal"/>
              <w:snapToGrid w:val="false"/>
              <w:ind w:start="-108" w:end="0"/>
              <w:rPr>
                <w:sz w:val="22"/>
              </w:rPr>
            </w:pPr>
            <w:r>
              <w:rPr>
                <w:sz w:val="22"/>
              </w:rPr>
            </w:r>
          </w:p>
        </w:tc>
      </w:tr>
      <w:tr>
        <w:trPr/>
        <w:tc>
          <w:tcPr>
            <w:tcW w:w="3168" w:type="dxa"/>
            <w:tcBorders/>
          </w:tcPr>
          <w:p>
            <w:pPr>
              <w:pStyle w:val="Normal"/>
              <w:snapToGrid w:val="false"/>
              <w:rPr>
                <w:sz w:val="22"/>
              </w:rPr>
            </w:pPr>
            <w:r>
              <w:rPr>
                <w:sz w:val="22"/>
              </w:rPr>
            </w:r>
          </w:p>
        </w:tc>
        <w:tc>
          <w:tcPr>
            <w:tcW w:w="6552" w:type="dxa"/>
            <w:tcBorders/>
          </w:tcPr>
          <w:p>
            <w:pPr>
              <w:pStyle w:val="Normal"/>
              <w:ind w:start="-108" w:end="0"/>
              <w:rPr>
                <w:b/>
                <w:sz w:val="22"/>
              </w:rPr>
            </w:pPr>
            <w:r>
              <w:rPr>
                <w:b/>
                <w:sz w:val="22"/>
              </w:rPr>
              <w:t>Billing, Invoices and Accounting Matters:</w:t>
            </w:r>
          </w:p>
          <w:p>
            <w:pPr>
              <w:pStyle w:val="Normal"/>
              <w:ind w:start="-90" w:end="0"/>
              <w:rPr>
                <w:sz w:val="22"/>
              </w:rPr>
            </w:pPr>
            <w:r>
              <w:rPr>
                <w:sz w:val="22"/>
              </w:rPr>
              <w:t>Southern Union Gas Company</w:t>
            </w:r>
          </w:p>
          <w:p>
            <w:pPr>
              <w:pStyle w:val="Normal"/>
              <w:ind w:start="-90" w:end="0"/>
              <w:rPr>
                <w:sz w:val="22"/>
              </w:rPr>
            </w:pPr>
            <w:r>
              <w:rPr>
                <w:sz w:val="22"/>
              </w:rPr>
              <w:t>504 Lavaca, Suite 800</w:t>
            </w:r>
          </w:p>
          <w:p>
            <w:pPr>
              <w:pStyle w:val="Normal"/>
              <w:ind w:start="-90" w:end="0"/>
              <w:rPr>
                <w:sz w:val="22"/>
              </w:rPr>
            </w:pPr>
            <w:r>
              <w:rPr>
                <w:sz w:val="22"/>
              </w:rPr>
              <w:t>Austin, Texas 78701</w:t>
            </w:r>
          </w:p>
          <w:p>
            <w:pPr>
              <w:pStyle w:val="Normal"/>
              <w:ind w:start="-90" w:end="0"/>
              <w:rPr>
                <w:sz w:val="22"/>
              </w:rPr>
            </w:pPr>
            <w:r>
              <w:rPr>
                <w:sz w:val="22"/>
              </w:rPr>
            </w:r>
          </w:p>
          <w:p>
            <w:pPr>
              <w:pStyle w:val="Normal"/>
              <w:ind w:start="-108" w:end="0"/>
              <w:rPr>
                <w:sz w:val="22"/>
              </w:rPr>
            </w:pPr>
            <w:r>
              <w:rPr>
                <w:sz w:val="22"/>
              </w:rPr>
              <w:t>Facsimile No. (512) 476-4966</w:t>
            </w:r>
          </w:p>
        </w:tc>
      </w:tr>
      <w:tr>
        <w:trPr/>
        <w:tc>
          <w:tcPr>
            <w:tcW w:w="3168" w:type="dxa"/>
            <w:tcBorders/>
          </w:tcPr>
          <w:p>
            <w:pPr>
              <w:pStyle w:val="Normal"/>
              <w:snapToGrid w:val="false"/>
              <w:rPr>
                <w:sz w:val="22"/>
              </w:rPr>
            </w:pPr>
            <w:r>
              <w:rPr>
                <w:sz w:val="22"/>
              </w:rPr>
            </w:r>
          </w:p>
        </w:tc>
        <w:tc>
          <w:tcPr>
            <w:tcW w:w="6552" w:type="dxa"/>
            <w:tcBorders/>
          </w:tcPr>
          <w:p>
            <w:pPr>
              <w:pStyle w:val="Normal"/>
              <w:snapToGrid w:val="false"/>
              <w:ind w:start="-108" w:end="0"/>
              <w:rPr>
                <w:sz w:val="22"/>
              </w:rPr>
            </w:pPr>
            <w:r>
              <w:rPr>
                <w:sz w:val="22"/>
              </w:rPr>
            </w:r>
          </w:p>
        </w:tc>
      </w:tr>
    </w:tbl>
    <w:p>
      <w:pPr>
        <w:pStyle w:val="BodyText"/>
        <w:widowControl/>
        <w:rPr/>
      </w:pPr>
      <w:r>
        <w:rPr/>
        <w:t>This Confirmation is being provided pursuant to and in accordance with the attached Firm GTC and constitutes part of and is subject to all of the provisions of the Firm GTC.  Any objection of Customer to this Confirmation must be made by written notice to Company within 1 day of Customer’s receipt of same.  Please execute this Confirmation and return an executed original to Company.</w:t>
      </w:r>
    </w:p>
    <w:p>
      <w:pPr>
        <w:pStyle w:val="BodyText"/>
        <w:widowControl/>
        <w:rPr/>
      </w:pPr>
      <w:r>
        <w:rPr/>
      </w:r>
    </w:p>
    <w:p>
      <w:pPr>
        <w:pStyle w:val="Normal"/>
        <w:rPr>
          <w:b/>
          <w:sz w:val="22"/>
        </w:rPr>
      </w:pPr>
      <w:r>
        <w:rPr>
          <w:b/>
          <w:sz w:val="22"/>
        </w:rPr>
        <w:t>SOUTHERN UNION GAS COMPANY,</w:t>
        <w:tab/>
        <w:tab/>
        <w:t>ENRON NORTH AMERICA CORP.</w:t>
      </w:r>
    </w:p>
    <w:p>
      <w:pPr>
        <w:pStyle w:val="Normal"/>
        <w:rPr>
          <w:b/>
          <w:sz w:val="22"/>
        </w:rPr>
      </w:pPr>
      <w:r>
        <w:rPr>
          <w:b/>
          <w:sz w:val="22"/>
        </w:rPr>
        <w:t xml:space="preserve">A division of SOUTHERN UNION COMPANY </w:t>
      </w:r>
    </w:p>
    <w:p>
      <w:pPr>
        <w:pStyle w:val="Normal"/>
        <w:rPr>
          <w:b/>
          <w:sz w:val="22"/>
        </w:rPr>
      </w:pPr>
      <w:r>
        <w:rPr>
          <w:b/>
          <w:sz w:val="22"/>
        </w:rPr>
      </w:r>
    </w:p>
    <w:p>
      <w:pPr>
        <w:pStyle w:val="Normal"/>
        <w:rPr>
          <w:sz w:val="22"/>
        </w:rPr>
      </w:pPr>
      <w:r>
        <w:rPr>
          <w:sz w:val="22"/>
        </w:rPr>
        <w:t>By:____________________________________</w:t>
        <w:tab/>
        <w:tab/>
        <w:t>By: ___________________________________</w:t>
        <w:tab/>
      </w:r>
    </w:p>
    <w:p>
      <w:pPr>
        <w:pStyle w:val="Normal"/>
        <w:rPr>
          <w:sz w:val="22"/>
        </w:rPr>
      </w:pPr>
      <w:r>
        <w:rPr>
          <w:sz w:val="22"/>
        </w:rPr>
        <w:t>Signature</w:t>
        <w:tab/>
        <w:tab/>
        <w:tab/>
        <w:tab/>
        <w:tab/>
        <w:tab/>
        <w:t>Signature</w:t>
      </w:r>
    </w:p>
    <w:p>
      <w:pPr>
        <w:pStyle w:val="Normal"/>
        <w:rPr>
          <w:sz w:val="22"/>
        </w:rPr>
      </w:pPr>
      <w:r>
        <w:rPr>
          <w:sz w:val="22"/>
        </w:rPr>
        <w:t xml:space="preserve">Printed </w:t>
        <w:tab/>
        <w:tab/>
        <w:tab/>
        <w:tab/>
        <w:tab/>
        <w:tab/>
        <w:tab/>
        <w:t>Printed</w:t>
      </w:r>
    </w:p>
    <w:p>
      <w:pPr>
        <w:pStyle w:val="Normal"/>
        <w:rPr>
          <w:sz w:val="22"/>
        </w:rPr>
      </w:pPr>
      <w:r>
        <w:rPr>
          <w:sz w:val="22"/>
        </w:rPr>
        <w:t>Name</w:t>
      </w:r>
      <w:r>
        <w:rPr>
          <w:sz w:val="22"/>
          <w:u w:val="single"/>
        </w:rPr>
        <w:tab/>
        <w:tab/>
        <w:tab/>
        <w:tab/>
        <w:tab/>
        <w:tab/>
      </w:r>
      <w:r>
        <w:rPr>
          <w:sz w:val="22"/>
        </w:rPr>
        <w:tab/>
        <w:t>Name</w:t>
      </w:r>
      <w:r>
        <w:rPr>
          <w:sz w:val="22"/>
          <w:u w:val="single"/>
        </w:rPr>
        <w:tab/>
        <w:tab/>
        <w:tab/>
        <w:tab/>
        <w:tab/>
        <w:tab/>
      </w:r>
    </w:p>
    <w:p>
      <w:pPr>
        <w:pStyle w:val="Normal"/>
        <w:rPr>
          <w:sz w:val="22"/>
        </w:rPr>
      </w:pPr>
      <w:r>
        <w:rPr>
          <w:sz w:val="22"/>
        </w:rPr>
      </w:r>
    </w:p>
    <w:p>
      <w:pPr>
        <w:pStyle w:val="Normal"/>
        <w:rPr>
          <w:sz w:val="22"/>
        </w:rPr>
      </w:pPr>
      <w:r>
        <w:rPr>
          <w:sz w:val="22"/>
        </w:rPr>
        <w:t>Title</w:t>
      </w:r>
      <w:r>
        <w:rPr>
          <w:sz w:val="22"/>
          <w:u w:val="single"/>
        </w:rPr>
        <w:tab/>
        <w:tab/>
        <w:tab/>
        <w:tab/>
        <w:tab/>
        <w:tab/>
      </w:r>
      <w:r>
        <w:rPr>
          <w:sz w:val="22"/>
        </w:rPr>
        <w:tab/>
        <w:t>Title</w:t>
      </w:r>
      <w:r>
        <w:rPr>
          <w:sz w:val="22"/>
          <w:u w:val="single"/>
        </w:rPr>
        <w:tab/>
        <w:tab/>
        <w:tab/>
        <w:tab/>
        <w:tab/>
        <w:tab/>
      </w:r>
    </w:p>
    <w:p>
      <w:pPr>
        <w:pStyle w:val="Normal"/>
        <w:rPr>
          <w:sz w:val="22"/>
        </w:rPr>
      </w:pPr>
      <w:r>
        <w:rPr>
          <w:sz w:val="22"/>
        </w:rPr>
      </w:r>
    </w:p>
    <w:p>
      <w:pPr>
        <w:pStyle w:val="Normal"/>
        <w:rPr>
          <w:sz w:val="22"/>
        </w:rPr>
      </w:pPr>
      <w:r>
        <w:rPr>
          <w:sz w:val="22"/>
        </w:rPr>
        <w:br/>
      </w:r>
      <w:r>
        <w:br w:type="page"/>
      </w:r>
    </w:p>
    <w:p>
      <w:pPr>
        <w:pStyle w:val="Normal"/>
        <w:rPr>
          <w:sz w:val="22"/>
        </w:rPr>
      </w:pPr>
      <w:r>
        <w:rPr>
          <w:sz w:val="22"/>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Designated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Designated Quantity.  If on any day a party fails to schedule the Designated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Designated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(Pasha Publications, Inc.),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Designated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and upon netting, if the calculation of the Termination Payment does not result in damages to the Notifying Party, the Termination Payment shall be zero.  The Notifying Party shall provide the Affected Party a written statement of the amount of the Termination Payment.  The Affected Party shall pay the Termination Payment to the Notifying Party within 10 Days of receipt of such statement.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Designated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Designated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rFonts w:ascii="Arial Narrow" w:hAnsi="Arial Narrow" w:cs="Arial Narrow"/>
          <w:sz w:val="18"/>
        </w:rPr>
      </w:pPr>
      <w:r>
        <w:rPr>
          <w:rFonts w:cs="Arial Narrow" w:ascii="Arial Narrow" w:hAnsi="Arial Narrow"/>
          <w:sz w:val="18"/>
        </w:rPr>
        <w:t>[f:\atty.fms\3100sgtc.doc  10/96]</w:t>
      </w:r>
    </w:p>
    <w:p>
      <w:pPr>
        <w:pStyle w:val="Normal"/>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sectPr>
      <w:type w:val="continuous"/>
      <w:pgSz w:w="12240" w:h="15840"/>
      <w:pgMar w:left="576" w:right="576" w:gutter="0" w:header="720" w:top="1440" w:footer="720" w:bottom="1440"/>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Times New Roman" w:hAnsi="Times New Roman" w:cs="Times New Roman"/>
        <w:sz w:val="18"/>
      </w:rPr>
    </w:pPr>
    <w:r>
      <w:rPr>
        <w:rFonts w:cs="Times New Roman" w:ascii="Times New Roman" w:hAnsi="Times New Roman"/>
        <w:sz w:val="18"/>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57785" cy="131445"/>
              <wp:effectExtent l="0" t="0" r="0" b="0"/>
              <wp:wrapSquare wrapText="bothSides"/>
              <wp:docPr id="1" name="Frame1"/>
              <a:graphic xmlns:a="http://schemas.openxmlformats.org/drawingml/2006/main">
                <a:graphicData uri="http://schemas.microsoft.com/office/word/2010/wordprocessingShape">
                  <wps:wsp>
                    <wps:cNvSpPr txBox="1"/>
                    <wps:spPr>
                      <a:xfrm>
                        <a:off x="0" y="0"/>
                        <a:ext cx="57785" cy="131445"/>
                      </a:xfrm>
                      <a:prstGeom prst="rect"/>
                      <a:solidFill>
                        <a:srgbClr val="FFFFFF">
                          <a:alpha val="0"/>
                        </a:srgbClr>
                      </a:solidFill>
                    </wps:spPr>
                    <wps:txbx>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4.55pt;height:10.35pt;mso-wrap-distance-left:0pt;mso-wrap-distance-right:0pt;mso-wrap-distance-top:0pt;mso-wrap-distance-bottom:0pt;margin-top:0.05pt;mso-position-vertical-relative:text;margin-left:231.75pt;mso-position-horizontal:center;mso-position-horizontal-relative:margin">
              <v:fill opacity="0f"/>
              <v:textbox inset="0in,0in,0in,0in">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txbxContent>
              </v:textbox>
              <w10:wrap type="square"/>
            </v:rect>
          </w:pict>
        </mc:Fallback>
      </mc:AlternateContent>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/mnt/main-storage/datasets/enron-docs/doc/2001_030crfm.doc</w:t>
    </w:r>
    <w:r>
      <w:rPr>
        <w:sz w:val="12"/>
        <w:rFonts w:cs="Times New Roman" w:ascii="Times New Roman" w:hAnsi="Times New Roman"/>
      </w:rPr>
      <w:fldChar w:fldCharType="end"/>
    </w:r>
  </w:p>
  <w:p>
    <w:pPr>
      <w:pStyle w:val="Footer"/>
      <w:rPr>
        <w:rFonts w:ascii="Times New Roman" w:hAnsi="Times New Roman" w:cs="Times New Roman"/>
        <w:i/>
        <w:i/>
        <w:sz w:val="16"/>
      </w:rPr>
    </w:pPr>
    <w:r>
      <w:rPr>
        <w:rFonts w:cs="Times New Roman" w:ascii="Times New Roman" w:hAnsi="Times New Roman"/>
        <w:i/>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/mnt/main-storage/datasets/enron-docs/doc/2001_030crfm.doc</w:t>
    </w:r>
    <w:r>
      <w:rPr>
        <w:sz w:val="12"/>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Southern Union Gas Company</w:t>
    </w:r>
  </w:p>
  <w:p>
    <w:pPr>
      <w:pStyle w:val="Header"/>
      <w:rPr>
        <w:rFonts w:ascii="Times New Roman" w:hAnsi="Times New Roman" w:cs="Times New Roman"/>
        <w:sz w:val="22"/>
      </w:rPr>
    </w:pPr>
    <w:r>
      <w:rPr>
        <w:rFonts w:cs="Times New Roman" w:ascii="Times New Roman" w:hAnsi="Times New Roman"/>
        <w:sz w:val="22"/>
      </w:rPr>
      <w:t>March 26, 2001</w:t>
    </w:r>
  </w:p>
  <w:p>
    <w:pPr>
      <w:pStyle w:val="Header"/>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6</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938660968" r:id="rId1"/>
            </w:object>
          </w:r>
        </w:p>
      </w:tc>
      <w:tc>
        <w:tcPr>
          <w:tcW w:w="4601"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rFonts w:ascii="Times New Roman" w:hAnsi="Times New Roman" w:cs="Times New Roman"/>
        <w:sz w:val="22"/>
      </w:rPr>
    </w:pPr>
    <w:r>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2z0">
    <w:name w:val="WW8Num2z0"/>
    <w:qFormat/>
    <w:rPr/>
  </w:style>
  <w:style w:type="character" w:styleId="WW8Num3z0">
    <w:name w:val="WW8Num3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ms Rmn" w:hAnsi="Tms Rmn" w:cs="Tms Rmn"/>
      <w:sz w:val="26"/>
    </w:rPr>
  </w:style>
  <w:style w:type="paragraph" w:styleId="Footer">
    <w:name w:val="footer"/>
    <w:basedOn w:val="Normal"/>
    <w:pPr>
      <w:tabs>
        <w:tab w:val="clear" w:pos="720"/>
        <w:tab w:val="center" w:pos="4320" w:leader="none"/>
        <w:tab w:val="right" w:pos="8640" w:leader="none"/>
      </w:tabs>
    </w:pPr>
    <w:rPr>
      <w:rFonts w:ascii="Tms Rmn" w:hAnsi="Tms Rmn" w:cs="Tms Rmn"/>
      <w:sz w:val="26"/>
    </w:rPr>
  </w:style>
  <w:style w:type="paragraph" w:styleId="BlockText">
    <w:name w:val="Block Text"/>
    <w:basedOn w:val="Normal"/>
    <w:qFormat/>
    <w:pPr>
      <w:ind w:hanging="0" w:start="-108" w:end="144"/>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2001-03-22T15:09:00Z</dcterms:created>
  <dc:creator>Daniel J. Hyvl</dc:creator>
  <dc:description/>
  <dc:language>en-CA</dc:language>
  <cp:lastModifiedBy>dhyvl</cp:lastModifiedBy>
  <cp:lastPrinted>2001-03-26T13:17:00Z</cp:lastPrinted>
  <dcterms:modified xsi:type="dcterms:W3CDTF">2001-03-26T16:47:00Z</dcterms:modified>
  <cp:revision>6</cp:revision>
  <dc:subject/>
  <dc:title>November 4, 1999</dc:title>
</cp:coreProperties>
</file>