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601"/>
        <w:gridCol w:w="6397"/>
      </w:tblGrid>
      <w:tr>
        <w:trPr/>
        <w:tc>
          <w:tcPr>
            <w:tcW w:w="4601" w:type="dxa"/>
            <w:tcBorders>
              <w:top w:val="dashed" w:sz="6" w:space="0" w:color="auto"/>
              <w:start w:val="dashed" w:sz="6" w:space="0" w:color="auto"/>
              <w:bottom w:val="dashed" w:sz="6" w:space="0" w:color="auto"/>
              <w:end w:val="dashed" w:sz="6" w:space="0" w:color="auto"/>
            </w:tcBorders>
          </w:tcPr>
          <w:p>
            <w:pPr>
              <w:pStyle w:val="Header"/>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tc>
        <w:tc>
          <w:tcPr>
            <w:tcW w:w="6397" w:type="dxa"/>
            <w:tcBorders>
              <w:top w:val="dashed" w:sz="6" w:space="0" w:color="auto"/>
              <w:start w:val="dashed" w:sz="6" w:space="0" w:color="auto"/>
              <w:bottom w:val="dashed" w:sz="6" w:space="0" w:color="auto"/>
              <w:end w:val="dashed" w:sz="6" w:space="0" w:color="auto"/>
            </w:tcBorders>
          </w:tcPr>
          <w:p>
            <w:pPr>
              <w:pStyle w:val="Header"/>
              <w:snapToGrid w:val="false"/>
              <w:ind w:start="3319" w:end="0"/>
              <w:rPr>
                <w:rFonts w:ascii="Arial" w:hAnsi="Arial" w:eastAsia="Arial" w:cs="Arial"/>
                <w:b/>
                <w:bCs/>
                <w:sz w:val="18"/>
                <w:szCs w:val="18"/>
              </w:rPr>
            </w:pPr>
            <w:r>
              <w:rPr>
                <w:rFonts w:eastAsia="Arial" w:cs="Arial" w:ascii="Arial" w:hAnsi="Arial"/>
                <w:b/>
                <w:bCs/>
                <w:sz w:val="18"/>
                <w:szCs w:val="18"/>
              </w:rPr>
            </w:r>
          </w:p>
          <w:p>
            <w:pPr>
              <w:pStyle w:val="Header"/>
              <w:ind w:start="1969" w:end="0"/>
              <w:rPr>
                <w:rFonts w:ascii="Arial" w:hAnsi="Arial" w:eastAsia="Arial" w:cs="Arial"/>
                <w:b/>
                <w:bCs/>
                <w:sz w:val="18"/>
                <w:szCs w:val="18"/>
              </w:rPr>
            </w:pPr>
            <w:r>
              <w:rPr>
                <w:rFonts w:eastAsia="Arial" w:cs="Arial" w:ascii="Arial" w:hAnsi="Arial"/>
                <w:b/>
                <w:bCs/>
                <w:sz w:val="18"/>
                <w:szCs w:val="18"/>
              </w:rPr>
            </w:r>
          </w:p>
          <w:p>
            <w:pPr>
              <w:pStyle w:val="Header"/>
              <w:ind w:firstLine="1350" w:start="1969" w:end="0"/>
              <w:rPr>
                <w:rFonts w:ascii="Arial" w:hAnsi="Arial" w:eastAsia="Arial" w:cs="Arial"/>
                <w:b/>
                <w:bCs/>
                <w:sz w:val="18"/>
                <w:szCs w:val="18"/>
              </w:rPr>
            </w:pPr>
            <w:r>
              <w:rPr>
                <w:rFonts w:eastAsia="Arial" w:cs="Arial" w:ascii="Arial" w:hAnsi="Arial"/>
                <w:b/>
                <w:bCs/>
                <w:sz w:val="18"/>
                <w:szCs w:val="18"/>
              </w:rPr>
              <w:t>Enron North America Corp.</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P.O. Box 1188</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Houston, TX  77251-1188</w:t>
            </w:r>
          </w:p>
          <w:p>
            <w:pPr>
              <w:pStyle w:val="Header"/>
              <w:ind w:start="1969" w:end="0"/>
              <w:rPr>
                <w:rFonts w:ascii="Arial" w:hAnsi="Arial" w:eastAsia="Arial" w:cs="Arial"/>
                <w:i/>
                <w:i/>
                <w:iCs/>
                <w:sz w:val="16"/>
                <w:szCs w:val="16"/>
              </w:rPr>
            </w:pPr>
            <w:r>
              <w:rPr>
                <w:rFonts w:eastAsia="Arial" w:cs="Arial" w:ascii="Arial" w:hAnsi="Arial"/>
                <w:i/>
                <w:iCs/>
                <w:sz w:val="16"/>
                <w:szCs w:val="16"/>
              </w:rPr>
            </w:r>
          </w:p>
          <w:p>
            <w:pPr>
              <w:pStyle w:val="Header"/>
              <w:ind w:start="1969" w:end="0"/>
              <w:rPr>
                <w:rFonts w:ascii="Arial" w:hAnsi="Arial" w:eastAsia="Arial" w:cs="Arial"/>
                <w:i/>
                <w:i/>
                <w:iCs/>
                <w:sz w:val="16"/>
                <w:szCs w:val="16"/>
              </w:rPr>
            </w:pPr>
            <w:r>
              <w:rPr>
                <w:rFonts w:eastAsia="Arial" w:cs="Arial" w:ascii="Arial" w:hAnsi="Arial"/>
                <w:i/>
                <w:iCs/>
                <w:sz w:val="16"/>
                <w:szCs w:val="16"/>
              </w:rPr>
            </w:r>
          </w:p>
        </w:tc>
      </w:tr>
    </w:tbl>
    <w:p>
      <w:pPr>
        <w:pStyle w:val="Normal"/>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ind w:firstLine="720" w:start="4320" w:end="0"/>
        <w:jc w:val="both"/>
        <w:rPr>
          <w:rFonts w:ascii="Arial Narrow" w:hAnsi="Arial Narrow" w:eastAsia="Arial Narrow" w:cs="Arial Narrow"/>
          <w:sz w:val="20"/>
          <w:szCs w:val="20"/>
        </w:rPr>
      </w:pPr>
      <w:r>
        <w:rPr>
          <w:rFonts w:eastAsia="Arial Narrow" w:cs="Arial Narrow" w:ascii="Arial Narrow" w:hAnsi="Arial Narrow"/>
          <w:sz w:val="20"/>
          <w:szCs w:val="20"/>
        </w:rPr>
        <w:t>March 22, 2001</w:t>
        <w:tab/>
        <w:tab/>
        <w:tab/>
        <w:t>(Revised)</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FootnoteText"/>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Crestar Energy Marketing Corp.</w:t>
      </w:r>
    </w:p>
    <w:p>
      <w:pPr>
        <w:pStyle w:val="Normal"/>
        <w:rPr/>
      </w:pPr>
      <w:r>
        <w:rPr>
          <w:rFonts w:eastAsia="Arial Narrow" w:cs="Arial Narrow" w:ascii="Arial Narrow" w:hAnsi="Arial Narrow"/>
          <w:sz w:val="20"/>
          <w:szCs w:val="20"/>
        </w:rPr>
        <w:t>333-7</w:t>
      </w:r>
      <w:r>
        <w:rPr>
          <w:rFonts w:eastAsia="Arial Narrow" w:cs="Arial Narrow" w:ascii="Arial Narrow" w:hAnsi="Arial Narrow"/>
          <w:sz w:val="20"/>
          <w:szCs w:val="20"/>
          <w:vertAlign w:val="superscript"/>
        </w:rPr>
        <w:t>th</w:t>
      </w:r>
      <w:r>
        <w:rPr>
          <w:rFonts w:eastAsia="Arial Narrow" w:cs="Arial Narrow" w:ascii="Arial Narrow" w:hAnsi="Arial Narrow"/>
          <w:sz w:val="20"/>
          <w:szCs w:val="20"/>
        </w:rPr>
        <w:t xml:space="preserve"> Ave. S. W.</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Calgary, Alberta T2P 4M8</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r>
    </w:p>
    <w:p>
      <w:pPr>
        <w:pStyle w:val="Normal"/>
        <w:rPr>
          <w:rFonts w:ascii="Arial Narrow" w:hAnsi="Arial Narrow" w:eastAsia="Arial Narrow" w:cs="Arial Narrow"/>
          <w:b/>
          <w:bCs/>
          <w:sz w:val="20"/>
          <w:szCs w:val="20"/>
        </w:rPr>
      </w:pPr>
      <w:r>
        <w:rPr>
          <w:rFonts w:eastAsia="Arial Narrow" w:cs="Arial Narrow" w:ascii="Arial Narrow" w:hAnsi="Arial Narrow"/>
          <w:sz w:val="20"/>
          <w:szCs w:val="20"/>
        </w:rPr>
        <w:tab/>
        <w:t>Re:</w:t>
        <w:tab/>
        <w:t>Transaction No. 1a</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"SPOT" CONFIRMATION--ENFOLIO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"SPOT" GENERAL TERMS &amp; CONDITIONS GOVERN</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This Spot Confirmation shall confirm the Transaction agreed to and shall be binding between Crestar Energy Marketing Corp. ("</w:t>
      </w:r>
      <w:r>
        <w:rPr>
          <w:rFonts w:eastAsia="Arial Narrow" w:cs="Arial Narrow" w:ascii="Arial Narrow" w:hAnsi="Arial Narrow"/>
          <w:sz w:val="20"/>
          <w:szCs w:val="20"/>
          <w:u w:val="single"/>
        </w:rPr>
        <w:t>Cresta</w:t>
      </w:r>
      <w:r>
        <w:rPr>
          <w:rFonts w:eastAsia="Arial Narrow" w:cs="Arial Narrow" w:ascii="Arial Narrow" w:hAnsi="Arial Narrow"/>
          <w:sz w:val="20"/>
          <w:szCs w:val="20"/>
        </w:rPr>
        <w:t>r" or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and Enron North America Corp. ("</w:t>
      </w:r>
      <w:r>
        <w:rPr>
          <w:rFonts w:eastAsia="Arial Narrow" w:cs="Arial Narrow" w:ascii="Arial Narrow" w:hAnsi="Arial Narrow"/>
          <w:sz w:val="20"/>
          <w:szCs w:val="20"/>
          <w:u w:val="single"/>
        </w:rPr>
        <w:t>Enron</w:t>
      </w:r>
      <w:r>
        <w:rPr>
          <w:rFonts w:eastAsia="Arial Narrow" w:cs="Arial Narrow" w:ascii="Arial Narrow" w:hAnsi="Arial Narrow"/>
          <w:sz w:val="20"/>
          <w:szCs w:val="20"/>
        </w:rPr>
        <w:t>" or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terms below.  Company shall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shall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  This Spot Confirmation - Transaction No. 1a and the Spot Confirmation – Transaction No. 1 of even date herewith are being provided as a replacement to that certain Spot Confirmation dated January 4, 2001 covering the subject matter hereof, and by its acceptance hereof Crestar acknowledges and agrees that such Spot Confirmation dated January 4, 2001 is null and void and of no further force and effect from and after the date hereof.</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sz w:val="20"/>
          <w:szCs w:val="20"/>
        </w:rPr>
        <w:t>TRANSACTION NUMBER:</w:t>
      </w:r>
      <w:r>
        <w:rPr>
          <w:rFonts w:eastAsia="Arial Narrow" w:cs="Arial Narrow" w:ascii="Arial Narrow" w:hAnsi="Arial Narrow"/>
          <w:sz w:val="20"/>
          <w:szCs w:val="20"/>
        </w:rPr>
        <w:t xml:space="preserve">  NV8176/370753</w:t>
      </w:r>
    </w:p>
    <w:p>
      <w:pPr>
        <w:pStyle w:val="Normal"/>
        <w:tabs>
          <w:tab w:val="clear" w:pos="720"/>
          <w:tab w:val="left" w:pos="8640" w:leader="none"/>
        </w:tabs>
        <w:ind w:hanging="5580" w:start="5580" w:end="0"/>
        <w:jc w:val="both"/>
        <w:rPr>
          <w:rFonts w:ascii="Arial Narrow" w:hAnsi="Arial Narrow" w:eastAsia="Arial Narrow" w:cs="Arial Narrow"/>
          <w:sz w:val="20"/>
          <w:szCs w:val="20"/>
        </w:rPr>
      </w:pPr>
      <w:r>
        <w:rPr>
          <w:rFonts w:eastAsia="Arial Narrow" w:cs="Arial Narrow" w:ascii="Arial Narrow" w:hAnsi="Arial Narrow"/>
          <w:b/>
          <w:bCs/>
          <w:sz w:val="20"/>
          <w:szCs w:val="20"/>
        </w:rPr>
        <w:t>TIER OF GAS:</w:t>
      </w:r>
      <w:r>
        <w:rPr>
          <w:rFonts w:eastAsia="Arial Narrow" w:cs="Arial Narrow" w:ascii="Arial Narrow" w:hAnsi="Arial Narrow"/>
          <w:sz w:val="20"/>
          <w:szCs w:val="20"/>
        </w:rPr>
        <w:t xml:space="preserve">  (Authorized Overrun Service) a</w:t>
      </w:r>
      <w:r>
        <w:rPr>
          <w:rFonts w:eastAsia="Arial Narrow" w:cs="Arial Narrow" w:ascii="Arial Narrow" w:hAnsi="Arial Narrow"/>
          <w:color w:val="000000"/>
          <w:sz w:val="20"/>
          <w:szCs w:val="20"/>
        </w:rPr>
        <w:t>s specified in OTHER TERMS, below.</w:t>
      </w:r>
    </w:p>
    <w:p>
      <w:pPr>
        <w:pStyle w:val="Normal"/>
        <w:tabs>
          <w:tab w:val="clear" w:pos="720"/>
          <w:tab w:val="left" w:pos="8640"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 xml:space="preserve">DCQ (IN MMBTUS): </w:t>
      </w:r>
      <w:r>
        <w:rPr>
          <w:rFonts w:eastAsia="Arial Narrow" w:cs="Arial Narrow" w:ascii="Arial Narrow" w:hAnsi="Arial Narrow"/>
          <w:sz w:val="20"/>
          <w:szCs w:val="20"/>
        </w:rPr>
        <w:t xml:space="preserve"> A variable quantity between 0 MMBtu per day and 8,260 MMBtu per day, </w:t>
      </w:r>
      <w:r>
        <w:rPr>
          <w:rFonts w:eastAsia="Arial Narrow" w:cs="Arial Narrow" w:ascii="Arial Narrow" w:hAnsi="Arial Narrow"/>
          <w:color w:val="000000"/>
          <w:sz w:val="20"/>
          <w:szCs w:val="20"/>
        </w:rPr>
        <w:t>as specified in OTHER TERMS, below.</w:t>
      </w:r>
    </w:p>
    <w:p>
      <w:pPr>
        <w:pStyle w:val="Normal"/>
        <w:tabs>
          <w:tab w:val="clear" w:pos="720"/>
          <w:tab w:val="left" w:pos="8640"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w:t>
      </w:r>
      <w:r>
        <w:rPr>
          <w:rFonts w:eastAsia="Arial Narrow" w:cs="Arial Narrow" w:ascii="Arial Narrow" w:hAnsi="Arial Narrow"/>
          <w:color w:val="000000"/>
          <w:sz w:val="20"/>
          <w:szCs w:val="20"/>
        </w:rPr>
        <w:t>The interconnect of ANR Pipeline Co. (Joliet) and Alliance Pipeline Limited ("Alliance"); provided, that Customer will use reasonable efforts to arrange deliveries to alternate downstream pipelines as Company may request in accordance with the procedures specified in OTHER TERMS, below.</w:t>
      </w:r>
    </w:p>
    <w:p>
      <w:pPr>
        <w:pStyle w:val="Normal"/>
        <w:tabs>
          <w:tab w:val="clear" w:pos="720"/>
          <w:tab w:val="left" w:pos="8640" w:leader="none"/>
        </w:tabs>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 November 1, 2000 through October 31, 2001</w:t>
      </w:r>
    </w:p>
    <w:p>
      <w:pPr>
        <w:pStyle w:val="Normal"/>
        <w:jc w:val="both"/>
        <w:rPr/>
      </w:pPr>
      <w:r>
        <w:rPr>
          <w:rFonts w:eastAsia="Arial Narrow" w:cs="Arial Narrow" w:ascii="Arial Narrow" w:hAnsi="Arial Narrow"/>
          <w:b/>
          <w:bCs/>
          <w:sz w:val="20"/>
          <w:szCs w:val="20"/>
        </w:rPr>
        <w:t>CONTRACT PRICE (PER MMBTU):</w:t>
      </w:r>
      <w:r>
        <w:rPr>
          <w:rFonts w:eastAsia="Arial Narrow" w:cs="Arial Narrow" w:ascii="Arial Narrow" w:hAnsi="Arial Narrow"/>
          <w:sz w:val="20"/>
          <w:szCs w:val="20"/>
        </w:rPr>
        <w:t xml:space="preserve">  The Contract Price shall be equal to the Midpoint price published on each calendar day during the Period of Delivery under the heading “Daily Price Survey” in the Citygates Chicago-LDC’s, Large e-us section of </w:t>
      </w:r>
      <w:r>
        <w:rPr>
          <w:rFonts w:eastAsia="Arial Narrow" w:cs="Arial Narrow" w:ascii="Arial Narrow" w:hAnsi="Arial Narrow"/>
          <w:sz w:val="20"/>
          <w:szCs w:val="20"/>
          <w:u w:val="single"/>
        </w:rPr>
        <w:t>Gas Daily</w:t>
      </w:r>
      <w:r>
        <w:rPr>
          <w:rFonts w:eastAsia="Arial Narrow" w:cs="Arial Narrow" w:ascii="Arial Narrow" w:hAnsi="Arial Narrow"/>
          <w:sz w:val="20"/>
          <w:szCs w:val="20"/>
        </w:rPr>
        <w:t>, minus $0.005 per MMBtu or if a calendar day is not a business day then the Contract Price for such calendar day will be the Daily Midpoint price published on the next succeeding business day.</w:t>
      </w:r>
    </w:p>
    <w:p>
      <w:pPr>
        <w:pStyle w:val="Normal"/>
        <w:jc w:val="both"/>
        <w:rPr/>
      </w:pPr>
      <w:r>
        <w:rPr>
          <w:rFonts w:eastAsia="Arial Narrow" w:cs="Arial Narrow" w:ascii="Arial Narrow" w:hAnsi="Arial Narrow"/>
          <w:b/>
          <w:bCs/>
          <w:sz w:val="20"/>
          <w:szCs w:val="20"/>
        </w:rPr>
        <w:t xml:space="preserve">OTHER TERMS: </w:t>
      </w:r>
      <w:r>
        <w:rPr>
          <w:rFonts w:eastAsia="Arial Narrow" w:cs="Arial Narrow" w:ascii="Arial Narrow" w:hAnsi="Arial Narrow"/>
          <w:sz w:val="20"/>
          <w:szCs w:val="20"/>
        </w:rPr>
        <w:t xml:space="preserve"> </w:t>
      </w:r>
      <w:r>
        <w:rPr>
          <w:rFonts w:eastAsia="Arial Narrow" w:cs="Arial Narrow" w:ascii="Arial Narrow" w:hAnsi="Arial Narrow"/>
          <w:color w:val="000000"/>
          <w:sz w:val="20"/>
          <w:szCs w:val="20"/>
        </w:rPr>
        <w:t>In this Agreement, "Customer's AOS" shall mean Customer's right to utilize Authorized Overrun Service on Alliance by virtue of that agreement between Customer and Alliance providing Customer with 51.1 MMcf per day of Alliance firm capacity, but does not include Customer's right to utilize Authorized Overrun Service that is announced as available to Customer after 9:00 a.m. Mountain Time on the Nomination Day; and</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"Gas Day" has the meaning given to that term in the U.S. tariff for Alliance pipeline.</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"Nomination Day" means the business day immediately preceding a particular Gas Day.</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On each Nomination Day, by 9:00 a.m. Mountain Time Customer will advise Company by telephone or voice mail whether Customer will deliver and sell gas hereunder on the next Gas Day and the amount to be delivered in MMBtus.  That amount shall be the DCQ for the next Gas Day, in all other circumstances the DCQ will be zero.  The decision to sell and deliver gas hereunder shall be within Customer's sole discretion, however, Customer agrees that it shall not utilize Customer's AOS to deliver gas to a buyer in Chicago except to Company pursuant to this Agreement, provided that Customer may utilize Customer's AOS for operational purposes such as and including balancing its Alliance account.</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Once DCQ for the next Gas Day has been determined as provided in the preceding paragraph such gas shall be considered to be Tier 3 Firm Gas and the Force Majeure provision of the Enfolio Spot General Terms and Conditions shall not apply to such deliveries.</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sz w:val="20"/>
          <w:szCs w:val="20"/>
        </w:rPr>
      </w:pPr>
      <w:r>
        <w:rPr>
          <w:rFonts w:eastAsia="Arial Narrow" w:cs="Arial Narrow" w:ascii="Arial Narrow" w:hAnsi="Arial Narrow"/>
          <w:color w:val="000000"/>
          <w:sz w:val="20"/>
          <w:szCs w:val="20"/>
        </w:rPr>
        <w:t>By 9:45 a.m. Mountain Time on each Nomination Day that the DCQ for the next Gas Day is not zero, Company shall advise Customer in writing or via e-mail of the contract numbers, associated gas volumes, and alternate downstream pipelines, if any, where it wishes to have the DCQ allocated on the next Gas Day.  In the event Company fails to so notify Customer and Customer incurs actual damages as a result of such failure, Company shall reimburse Customer for the amount of such actual damages; and furthermore, in the event Company notifies Customer of the contract numbers and other information and Customer fails to nominate in accordance with such information, Customer shall indemnify Company for any costs or damages incurred by Company as a result of such failure by Customer.</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This Spot Confirmation is being provided pursuant to and in accordance with the Enfolio Spot General Terms &amp; Conditions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within 10 days of receipt of same.</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16"/>
          <w:szCs w:val="16"/>
        </w:rPr>
      </w:pPr>
      <w:r>
        <w:rPr>
          <w:rFonts w:eastAsia="Arial Narrow" w:cs="Arial Narrow" w:ascii="Arial Narrow" w:hAnsi="Arial Narrow"/>
          <w:sz w:val="20"/>
          <w:szCs w:val="20"/>
        </w:rPr>
        <w:t>Neither Party shall disclose the terms of this Transaction No. 1a to a third party (other than the Party's and its affiliates' employees, lenders, counsel</w:t>
      </w:r>
      <w:r>
        <w:rPr>
          <w:rFonts w:eastAsia="Arial Narrow" w:cs="Arial Narrow" w:ascii="Arial Narrow" w:hAnsi="Arial Narrow"/>
          <w:sz w:val="18"/>
          <w:szCs w:val="18"/>
        </w:rPr>
        <w:t xml:space="preserve">, </w:t>
      </w:r>
      <w:r>
        <w:rPr>
          <w:rFonts w:eastAsia="Arial Narrow" w:cs="Arial Narrow" w:ascii="Arial Narrow" w:hAnsi="Arial Narrow"/>
          <w:sz w:val="20"/>
          <w:szCs w:val="20"/>
        </w:rPr>
        <w:t>accountants or prospective purchasers of any rights under any Transactions</w:t>
      </w:r>
      <w:r>
        <w:rPr>
          <w:rFonts w:eastAsia="Arial Narrow" w:cs="Arial Narrow" w:ascii="Arial Narrow" w:hAnsi="Arial Narrow"/>
          <w:sz w:val="18"/>
          <w:szCs w:val="18"/>
        </w:rPr>
        <w:t xml:space="preserve"> </w:t>
      </w:r>
      <w:r>
        <w:rPr>
          <w:rFonts w:eastAsia="Arial Narrow" w:cs="Arial Narrow" w:ascii="Arial Narrow" w:hAnsi="Arial Narrow"/>
          <w:sz w:val="20"/>
          <w:szCs w:val="20"/>
        </w:rPr>
        <w:t xml:space="preserve">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w:t>
      </w:r>
      <w:r>
        <w:rPr>
          <w:rFonts w:eastAsia="Arial Narrow" w:cs="Arial Narrow" w:ascii="Arial Narrow" w:hAnsi="Arial Narrow"/>
          <w:sz w:val="18"/>
          <w:szCs w:val="18"/>
        </w:rPr>
        <w:t>Enfolio</w:t>
      </w:r>
      <w:r>
        <w:rPr>
          <w:rFonts w:eastAsia="Arial Narrow" w:cs="Arial Narrow" w:ascii="Arial Narrow" w:hAnsi="Arial Narrow"/>
          <w:position w:val="6"/>
          <w:sz w:val="18"/>
          <w:szCs w:val="18"/>
        </w:rPr>
        <w:t>®</w:t>
      </w:r>
      <w:r>
        <w:rPr>
          <w:rFonts w:eastAsia="Arial Narrow" w:cs="Arial Narrow" w:ascii="Arial Narrow" w:hAnsi="Arial Narrow"/>
          <w:sz w:val="18"/>
          <w:szCs w:val="18"/>
        </w:rPr>
        <w:t xml:space="preserve"> "Spot" General Terms &amp; Conditions</w:t>
      </w:r>
      <w:r>
        <w:rPr>
          <w:rFonts w:eastAsia="Arial Narrow" w:cs="Arial Narrow" w:ascii="Arial Narrow" w:hAnsi="Arial Narrow"/>
          <w:sz w:val="20"/>
          <w:szCs w:val="20"/>
        </w:rPr>
        <w:t xml:space="preserve"> other than the terms of this Transaction No. 1a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r>
        <w:br w:type="page"/>
      </w:r>
    </w:p>
    <w:p>
      <w:pPr>
        <w:pStyle w:val="Normal"/>
        <w:jc w:val="center"/>
        <w:rPr/>
      </w:pP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"SPOT" GENERAL TERMS &amp; CONDITIONS  </w:t>
      </w:r>
    </w:p>
    <w:p>
      <w:pPr>
        <w:pStyle w:val="Normal"/>
        <w:jc w:val="both"/>
        <w:rPr/>
      </w:pPr>
      <w:r>
        <w:rPr>
          <w:rFonts w:eastAsia="Arial Narrow" w:cs="Arial Narrow" w:ascii="Arial Narrow" w:hAnsi="Arial Narrow"/>
          <w:b/>
          <w:bCs/>
          <w:sz w:val="18"/>
          <w:szCs w:val="18"/>
          <w:u w:val="single"/>
        </w:rPr>
        <w:t>1. Transactions</w:t>
      </w:r>
      <w:r>
        <w:rPr>
          <w:rFonts w:eastAsia="Arial Narrow" w:cs="Arial Narrow" w:ascii="Arial Narrow" w:hAnsi="Arial Narrow"/>
          <w:sz w:val="18"/>
          <w:szCs w:val="18"/>
        </w:rPr>
        <w:t>. The parties shall engage in transactions in accordance with these Enfolio terms and conditions (this "</w:t>
      </w:r>
      <w:r>
        <w:rPr>
          <w:rFonts w:eastAsia="Arial Narrow" w:cs="Arial Narrow" w:ascii="Arial Narrow" w:hAnsi="Arial Narrow"/>
          <w:sz w:val="18"/>
          <w:szCs w:val="18"/>
          <w:u w:val="single"/>
        </w:rPr>
        <w:t>Spot GTC</w:t>
      </w:r>
      <w:r>
        <w:rPr>
          <w:rFonts w:eastAsia="Arial Narrow" w:cs="Arial Narrow" w:ascii="Arial Narrow" w:hAnsi="Arial Narrow"/>
          <w:sz w:val="18"/>
          <w:szCs w:val="18"/>
        </w:rPr>
        <w:t>") and Enfolio confirmations of transactions ("</w:t>
      </w:r>
      <w:r>
        <w:rPr>
          <w:rFonts w:eastAsia="Arial Narrow" w:cs="Arial Narrow" w:ascii="Arial Narrow" w:hAnsi="Arial Narrow"/>
          <w:sz w:val="18"/>
          <w:szCs w:val="18"/>
          <w:u w:val="single"/>
        </w:rPr>
        <w:t>Spot Confirmations</w:t>
      </w:r>
      <w:r>
        <w:rPr>
          <w:rFonts w:eastAsia="Arial Narrow" w:cs="Arial Narrow" w:ascii="Arial Narrow" w:hAnsi="Arial Narrow"/>
          <w:sz w:val="18"/>
          <w:szCs w:val="18"/>
        </w:rPr>
        <w:t>") referencing this Spot GTC, which may be issued at the discretion of Company therein identified.  Transactions may be formed in a recorded telephone conversation between the parties whereby an offer and acceptance shall constitute a valid and enforceable agreement of the parties subject to this Spot GTC and all transactions between the parties shall be considered a single master agreement governed by this Spot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Spot GTC under laws relating to (i) whether certain agreements are to be in writing or signed by the party to be thereby bound or (ii) the authority of any employee of the party.  This Spot GTC, each transaction and the rights and duties of the parties arising herefrom shall be governed by the laws of Texas.</w:t>
      </w:r>
      <w:r>
        <w:rPr>
          <w:rFonts w:eastAsia="Arial Narrow" w:cs="Arial Narrow" w:ascii="Arial Narrow" w:hAnsi="Arial Narrow"/>
          <w:caps/>
          <w:sz w:val="18"/>
          <w:szCs w:val="18"/>
        </w:rPr>
        <w:t xml:space="preserve">  </w:t>
      </w:r>
      <w:r>
        <w:rPr>
          <w:rFonts w:eastAsia="Arial Narrow" w:cs="Arial Narrow" w:ascii="Arial Narrow" w:hAnsi="Arial Narrow"/>
          <w:b/>
          <w:bCs/>
          <w:sz w:val="18"/>
          <w:szCs w:val="18"/>
        </w:rPr>
        <w:t>Upon issuance of a Spot Confirmation, if no objection to the Spot Confirmation has been received in accordance with applicable law, the Spot Confirmation shall be conclusive evidence of the transaction made the subject matter thereof and the final expression of all of its terms.</w:t>
      </w:r>
      <w:r>
        <w:rPr>
          <w:rFonts w:eastAsia="Arial Narrow" w:cs="Arial Narrow" w:ascii="Arial Narrow" w:hAnsi="Arial Narrow"/>
          <w:sz w:val="18"/>
          <w:szCs w:val="18"/>
        </w:rPr>
        <w:t xml:space="preserve">  The </w:t>
      </w:r>
      <w:r>
        <w:rPr>
          <w:rFonts w:eastAsia="Arial Narrow" w:cs="Arial Narrow" w:ascii="Arial Narrow" w:hAnsi="Arial Narrow"/>
          <w:b/>
          <w:bCs/>
          <w:sz w:val="18"/>
          <w:szCs w:val="18"/>
        </w:rPr>
        <w:t>DCQ</w:t>
      </w:r>
      <w:r>
        <w:rPr>
          <w:rFonts w:eastAsia="Arial Narrow" w:cs="Arial Narrow" w:ascii="Arial Narrow" w:hAnsi="Arial Narrow"/>
          <w:sz w:val="18"/>
          <w:szCs w:val="18"/>
        </w:rPr>
        <w:t xml:space="preserve"> shall be scheduled by </w:t>
      </w:r>
      <w:r>
        <w:rPr>
          <w:rFonts w:eastAsia="Arial Narrow" w:cs="Arial Narrow" w:ascii="Arial Narrow" w:hAnsi="Arial Narrow"/>
          <w:b/>
          <w:bCs/>
          <w:sz w:val="18"/>
          <w:szCs w:val="18"/>
        </w:rPr>
        <w:t xml:space="preserve">Seller </w:t>
      </w:r>
      <w:r>
        <w:rPr>
          <w:rFonts w:eastAsia="Arial Narrow" w:cs="Arial Narrow" w:ascii="Arial Narrow" w:hAnsi="Arial Narrow"/>
          <w:sz w:val="18"/>
          <w:szCs w:val="18"/>
        </w:rPr>
        <w:t xml:space="preserve">and </w:t>
      </w:r>
      <w:r>
        <w:rPr>
          <w:rFonts w:eastAsia="Arial Narrow" w:cs="Arial Narrow" w:ascii="Arial Narrow" w:hAnsi="Arial Narrow"/>
          <w:b/>
          <w:bCs/>
          <w:sz w:val="18"/>
          <w:szCs w:val="18"/>
        </w:rPr>
        <w:t xml:space="preserve">Buyer </w:t>
      </w:r>
      <w:r>
        <w:rPr>
          <w:rFonts w:eastAsia="Arial Narrow" w:cs="Arial Narrow" w:ascii="Arial Narrow" w:hAnsi="Arial Narrow"/>
          <w:sz w:val="18"/>
          <w:szCs w:val="18"/>
        </w:rPr>
        <w:t xml:space="preserve">at the </w:t>
      </w:r>
      <w:r>
        <w:rPr>
          <w:rFonts w:eastAsia="Arial Narrow" w:cs="Arial Narrow" w:ascii="Arial Narrow" w:hAnsi="Arial Narrow"/>
          <w:b/>
          <w:bCs/>
          <w:sz w:val="18"/>
          <w:szCs w:val="18"/>
        </w:rPr>
        <w:t>Delivery Point(s)</w:t>
      </w:r>
      <w:r>
        <w:rPr>
          <w:rFonts w:eastAsia="Arial Narrow" w:cs="Arial Narrow" w:ascii="Arial Narrow" w:hAnsi="Arial Narrow"/>
          <w:sz w:val="18"/>
          <w:szCs w:val="18"/>
        </w:rPr>
        <w:t xml:space="preserve"> during the </w:t>
      </w:r>
      <w:r>
        <w:rPr>
          <w:rFonts w:eastAsia="Arial Narrow" w:cs="Arial Narrow" w:ascii="Arial Narrow" w:hAnsi="Arial Narrow"/>
          <w:b/>
          <w:bCs/>
          <w:sz w:val="18"/>
          <w:szCs w:val="18"/>
        </w:rPr>
        <w:t>Period of Delivery</w:t>
      </w:r>
      <w:r>
        <w:rPr>
          <w:rFonts w:eastAsia="Arial Narrow" w:cs="Arial Narrow" w:ascii="Arial Narrow" w:hAnsi="Arial Narrow"/>
          <w:sz w:val="18"/>
          <w:szCs w:val="18"/>
        </w:rPr>
        <w:t xml:space="preserve"> and at the </w:t>
      </w:r>
      <w:r>
        <w:rPr>
          <w:rFonts w:eastAsia="Arial Narrow" w:cs="Arial Narrow" w:ascii="Arial Narrow" w:hAnsi="Arial Narrow"/>
          <w:b/>
          <w:bCs/>
          <w:sz w:val="18"/>
          <w:szCs w:val="18"/>
        </w:rPr>
        <w:t xml:space="preserve">Contract Price </w:t>
      </w:r>
      <w:r>
        <w:rPr>
          <w:rFonts w:eastAsia="Arial Narrow" w:cs="Arial Narrow" w:ascii="Arial Narrow" w:hAnsi="Arial Narrow"/>
          <w:sz w:val="18"/>
          <w:szCs w:val="18"/>
        </w:rPr>
        <w:t>as provided in each transaction.  Each transaction shall indicate the "</w:t>
      </w:r>
      <w:r>
        <w:rPr>
          <w:rFonts w:eastAsia="Arial Narrow" w:cs="Arial Narrow" w:ascii="Arial Narrow" w:hAnsi="Arial Narrow"/>
          <w:sz w:val="18"/>
          <w:szCs w:val="18"/>
          <w:u w:val="single"/>
        </w:rPr>
        <w:t>Tier</w:t>
      </w:r>
      <w:r>
        <w:rPr>
          <w:rFonts w:eastAsia="Arial Narrow" w:cs="Arial Narrow" w:ascii="Arial Narrow" w:hAnsi="Arial Narrow"/>
          <w:sz w:val="18"/>
          <w:szCs w:val="18"/>
        </w:rPr>
        <w:t>" of gas applicable to the DCQ during the Period of Delivery:</w:t>
      </w:r>
    </w:p>
    <w:p>
      <w:pPr>
        <w:pStyle w:val="Normal"/>
        <w:ind w:end="-36"/>
        <w:jc w:val="both"/>
        <w:rPr/>
      </w:pPr>
      <w:r>
        <w:rPr>
          <w:rFonts w:eastAsia="Arial Narrow" w:cs="Arial Narrow" w:ascii="Arial Narrow" w:hAnsi="Arial Narrow"/>
          <w:sz w:val="18"/>
          <w:szCs w:val="18"/>
        </w:rPr>
        <w:t>"</w:t>
      </w:r>
      <w:r>
        <w:rPr>
          <w:rFonts w:eastAsia="Arial Narrow" w:cs="Arial Narrow" w:ascii="Arial Narrow" w:hAnsi="Arial Narrow"/>
          <w:b/>
          <w:bCs/>
          <w:sz w:val="18"/>
          <w:szCs w:val="18"/>
          <w:u w:val="single"/>
        </w:rPr>
        <w:t>Interruptible Gas</w:t>
      </w:r>
      <w:r>
        <w:rPr>
          <w:rFonts w:eastAsia="Arial Narrow" w:cs="Arial Narrow" w:ascii="Arial Narrow" w:hAnsi="Arial Narrow"/>
          <w:sz w:val="18"/>
          <w:szCs w:val="18"/>
        </w:rPr>
        <w:t>"--subject hereto, both parties may without liability interrupt, in whole or in part, scheduling the DCQ in accordance with the provisions hereof for any reason; or "</w:t>
      </w:r>
      <w:r>
        <w:rPr>
          <w:rFonts w:eastAsia="Arial Narrow" w:cs="Arial Narrow" w:ascii="Arial Narrow" w:hAnsi="Arial Narrow"/>
          <w:b/>
          <w:bCs/>
          <w:sz w:val="18"/>
          <w:szCs w:val="18"/>
          <w:u w:val="single"/>
        </w:rPr>
        <w:t>Firm Gas</w:t>
      </w:r>
      <w:r>
        <w:rPr>
          <w:rFonts w:eastAsia="Arial Narrow" w:cs="Arial Narrow" w:ascii="Arial Narrow" w:hAnsi="Arial Narrow"/>
          <w:sz w:val="18"/>
          <w:szCs w:val="18"/>
        </w:rPr>
        <w:t xml:space="preserve">"--subject hereto, both parties are firmly obligated to schedule the DCQ for a period less than or equal to one month. </w:t>
      </w:r>
    </w:p>
    <w:p>
      <w:pPr>
        <w:pStyle w:val="Normal"/>
        <w:jc w:val="both"/>
        <w:rPr/>
      </w:pPr>
      <w:r>
        <w:rPr>
          <w:rFonts w:eastAsia="Arial Narrow" w:cs="Arial Narrow" w:ascii="Arial Narrow" w:hAnsi="Arial Narrow"/>
          <w:b/>
          <w:bCs/>
          <w:sz w:val="18"/>
          <w:szCs w:val="18"/>
          <w:u w:val="single"/>
        </w:rPr>
        <w:t>2. Quantity Obligations</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u w:val="single"/>
        </w:rPr>
        <w:t>2.1. Tier 1 Interruptible Gas</w:t>
      </w:r>
      <w:r>
        <w:rPr>
          <w:rFonts w:eastAsia="Arial Narrow" w:cs="Arial Narrow" w:ascii="Arial Narrow" w:hAnsi="Arial Narrow"/>
          <w:sz w:val="18"/>
          <w:szCs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eastAsia="Arial Narrow" w:cs="Arial Narrow" w:ascii="Arial Narrow" w:hAnsi="Arial Narrow"/>
          <w:b/>
          <w:bCs/>
          <w:sz w:val="18"/>
          <w:szCs w:val="18"/>
          <w:u w:val="single"/>
        </w:rPr>
        <w:t>2.2. Interruption Without Notice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u w:val="single"/>
        </w:rPr>
        <w:t>2.3. Tier 3 Firm Gas</w:t>
      </w:r>
      <w:r>
        <w:rPr>
          <w:rFonts w:eastAsia="Arial Narrow" w:cs="Arial Narrow" w:ascii="Arial Narrow" w:hAnsi="Arial Narrow"/>
          <w:sz w:val="18"/>
          <w:szCs w:val="18"/>
        </w:rPr>
        <w:t xml:space="preserve"> Each of Seller and Buyer shall schedule at the Delivery Point(s) each day on a firm basis a quantity of gas equal to the DCQ.  If on any day Seller fails to schedule the DCQ, then such occurrence shall constitute a "</w:t>
      </w:r>
      <w:r>
        <w:rPr>
          <w:rFonts w:eastAsia="Arial Narrow" w:cs="Arial Narrow" w:ascii="Arial Narrow" w:hAnsi="Arial Narrow"/>
          <w:sz w:val="18"/>
          <w:szCs w:val="18"/>
          <w:u w:val="single"/>
        </w:rPr>
        <w:t>Seller's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Seller's Deficiency Quantity</w:t>
      </w:r>
      <w:r>
        <w:rPr>
          <w:rFonts w:eastAsia="Arial Narrow" w:cs="Arial Narrow" w:ascii="Arial Narrow" w:hAnsi="Arial Narrow"/>
          <w:sz w:val="18"/>
          <w:szCs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eastAsia="Arial Narrow" w:cs="Arial Narrow" w:ascii="Arial Narrow" w:hAnsi="Arial Narrow"/>
          <w:sz w:val="18"/>
          <w:szCs w:val="18"/>
          <w:u w:val="single"/>
        </w:rPr>
        <w:t>Buyer's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Buyer's Deficiency Quantity</w:t>
      </w:r>
      <w:r>
        <w:rPr>
          <w:rFonts w:eastAsia="Arial Narrow" w:cs="Arial Narrow" w:ascii="Arial Narrow" w:hAnsi="Arial Narrow"/>
          <w:sz w:val="18"/>
          <w:szCs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eastAsia="Arial Narrow" w:cs="Arial Narrow" w:ascii="Arial Narrow" w:hAnsi="Arial Narrow"/>
          <w:sz w:val="18"/>
          <w:szCs w:val="18"/>
          <w:u w:val="single"/>
        </w:rPr>
        <w:t>Replacement Price Differential</w:t>
      </w:r>
      <w:r>
        <w:rPr>
          <w:rFonts w:eastAsia="Arial Narrow" w:cs="Arial Narrow" w:ascii="Arial Narrow" w:hAnsi="Arial Narrow"/>
          <w:sz w:val="18"/>
          <w:szCs w:val="18"/>
        </w:rPr>
        <w:t xml:space="preserve">" means (i) in the event of a Seller's Deficiency Default, the positive difference, if any, obtained by subtracting the Contract Price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Spot Price for the day in which the default occurred and (ii) in the event of a Buyer's Deficiency Default, the positive difference, if any, obtained by subtracting the Spot Price for the day in which the default occurred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Contract Price. </w:t>
      </w:r>
      <w:r>
        <w:rPr>
          <w:rFonts w:eastAsia="Arial Narrow" w:cs="Arial Narrow" w:ascii="Arial Narrow" w:hAnsi="Arial Narrow"/>
          <w:color w:val="000000"/>
          <w:sz w:val="18"/>
          <w:szCs w:val="18"/>
        </w:rPr>
        <w:t>"</w:t>
      </w:r>
      <w:r>
        <w:rPr>
          <w:rFonts w:eastAsia="Arial Narrow" w:cs="Arial Narrow" w:ascii="Arial Narrow" w:hAnsi="Arial Narrow"/>
          <w:color w:val="000000"/>
          <w:sz w:val="18"/>
          <w:szCs w:val="18"/>
          <w:u w:val="single"/>
        </w:rPr>
        <w:t>Spot Price</w:t>
      </w:r>
      <w:r>
        <w:rPr>
          <w:rFonts w:eastAsia="Arial Narrow" w:cs="Arial Narrow" w:ascii="Arial Narrow" w:hAnsi="Arial Narrow"/>
          <w:color w:val="000000"/>
          <w:sz w:val="18"/>
          <w:szCs w:val="18"/>
        </w:rPr>
        <w:t xml:space="preserve">" means the “Daily Midpoint” price set forth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(Financial Energy Times),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eastAsia="Arial Narrow" w:cs="Arial Narrow" w:ascii="Arial Narrow" w:hAnsi="Arial Narrow"/>
          <w:b/>
          <w:bCs/>
          <w:sz w:val="18"/>
          <w:szCs w:val="18"/>
          <w:u w:val="single"/>
        </w:rPr>
        <w:t>3. Payments/Early Termination</w:t>
      </w:r>
      <w:r>
        <w:rPr>
          <w:rFonts w:eastAsia="Arial Narrow" w:cs="Arial Narrow" w:ascii="Arial Narrow" w:hAnsi="Arial Narrow"/>
          <w:sz w:val="18"/>
          <w:szCs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eastAsia="Arial Narrow" w:cs="Arial Narrow" w:ascii="Arial Narrow" w:hAnsi="Arial Narrow"/>
          <w:b/>
          <w:bCs/>
          <w:sz w:val="18"/>
          <w:szCs w:val="18"/>
          <w:u w:val="single"/>
        </w:rPr>
        <w:t>4. Force Majeure</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other than payment, it is agreed that upon such party's giving notice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the obligations of the party giving such notice, to the extent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services of transporters.</w:t>
      </w:r>
    </w:p>
    <w:p>
      <w:pPr>
        <w:pStyle w:val="Normal"/>
        <w:jc w:val="both"/>
        <w:rPr/>
      </w:pPr>
      <w:r>
        <w:rPr>
          <w:rFonts w:eastAsia="Arial Narrow" w:cs="Arial Narrow" w:ascii="Arial Narrow" w:hAnsi="Arial Narrow"/>
          <w:b/>
          <w:bCs/>
          <w:sz w:val="18"/>
          <w:szCs w:val="18"/>
          <w:u w:val="single"/>
        </w:rPr>
        <w:t>5. Taxes</w:t>
      </w:r>
      <w:r>
        <w:rPr>
          <w:rFonts w:eastAsia="Arial Narrow" w:cs="Arial Narrow" w:ascii="Arial Narrow" w:hAnsi="Arial Narrow"/>
          <w:sz w:val="18"/>
          <w:szCs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eastAsia="Arial Narrow" w:cs="Arial Narrow" w:ascii="Arial Narrow" w:hAnsi="Arial Narrow"/>
          <w:b/>
          <w:bCs/>
          <w:sz w:val="18"/>
          <w:szCs w:val="18"/>
          <w:u w:val="single"/>
        </w:rPr>
        <w:t>6. Title/Risk of Loss/Imbalances</w:t>
      </w:r>
      <w:r>
        <w:rPr>
          <w:rFonts w:eastAsia="Arial Narrow" w:cs="Arial Narrow" w:ascii="Arial Narrow" w:hAnsi="Arial Narrow"/>
          <w:sz w:val="18"/>
          <w:szCs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eastAsia="Arial Narrow" w:cs="Arial Narrow" w:ascii="Arial Narrow" w:hAnsi="Arial Narrow"/>
          <w:caps/>
          <w:sz w:val="18"/>
          <w:szCs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Differences between scheduled and actual quantities will be settled in cash or gas or by offset as agreed.  </w:t>
      </w:r>
    </w:p>
    <w:p>
      <w:pPr>
        <w:pStyle w:val="Normal"/>
        <w:jc w:val="both"/>
        <w:rPr/>
      </w:pPr>
      <w:r>
        <w:rPr>
          <w:rFonts w:eastAsia="Arial Narrow" w:cs="Arial Narrow" w:ascii="Arial Narrow" w:hAnsi="Arial Narrow"/>
          <w:b/>
          <w:bCs/>
          <w:sz w:val="18"/>
          <w:szCs w:val="18"/>
          <w:u w:val="single"/>
        </w:rPr>
        <w:t>7. Operations</w:t>
      </w:r>
      <w:r>
        <w:rPr>
          <w:rFonts w:eastAsia="Arial Narrow" w:cs="Arial Narrow" w:ascii="Arial Narrow" w:hAnsi="Arial Narrow"/>
          <w:sz w:val="18"/>
          <w:szCs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and with respect to Tier 3 Firm Gas, such Party (without affecting its liability under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eastAsia="Arial Narrow" w:cs="Arial Narrow" w:ascii="Arial Narrow" w:hAnsi="Arial Narrow"/>
          <w:sz w:val="18"/>
          <w:szCs w:val="18"/>
          <w:u w:val="single"/>
        </w:rPr>
        <w:t>OFO</w:t>
      </w:r>
      <w:r>
        <w:rPr>
          <w:rFonts w:eastAsia="Arial Narrow" w:cs="Arial Narrow" w:ascii="Arial Narrow" w:hAnsi="Arial Narrow"/>
          <w:sz w:val="18"/>
          <w:szCs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eastAsia="Arial Narrow" w:cs="Arial Narrow" w:ascii="Arial Narrow" w:hAnsi="Arial Narrow"/>
          <w:b/>
          <w:bCs/>
          <w:sz w:val="18"/>
          <w:szCs w:val="18"/>
          <w:u w:val="single"/>
        </w:rPr>
        <w:t>8. Arbitration.</w:t>
      </w:r>
      <w:r>
        <w:rPr>
          <w:rFonts w:eastAsia="Arial Narrow" w:cs="Arial Narrow" w:ascii="Arial Narrow" w:hAnsi="Arial Narrow"/>
          <w:sz w:val="18"/>
          <w:szCs w:val="18"/>
        </w:rPr>
        <w:t xml:space="preserve">  Any dispute relating to this Agreement shall be resolved by binding, self-administered arbitration pursuant to the Commercial Arbitration Rules of the </w:t>
      </w:r>
      <w:r>
        <w:rPr>
          <w:rFonts w:eastAsia="Arial Narrow" w:cs="Arial Narrow" w:ascii="Arial Narrow" w:hAnsi="Arial Narrow"/>
          <w:sz w:val="18"/>
          <w:szCs w:val="18"/>
          <w:u w:val="single"/>
        </w:rPr>
        <w:t>American Arbitration Association ("AAA")</w:t>
      </w:r>
      <w:r>
        <w:rPr>
          <w:rFonts w:eastAsia="Arial Narrow" w:cs="Arial Narrow" w:ascii="Arial Narrow" w:hAnsi="Arial Narrow"/>
          <w:sz w:val="18"/>
          <w:szCs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eastAsia="Arial Narrow" w:cs="Arial Narrow" w:ascii="Arial Narrow" w:hAnsi="Arial Narrow"/>
          <w:b/>
          <w:bCs/>
          <w:caps/>
          <w:sz w:val="18"/>
          <w:szCs w:val="18"/>
          <w:u w:val="single"/>
        </w:rPr>
        <w:t>9. Damages</w:t>
      </w:r>
      <w:r>
        <w:rPr>
          <w:rFonts w:eastAsia="Arial Narrow" w:cs="Arial Narrow" w:ascii="Arial Narrow" w:hAnsi="Arial Narrow"/>
          <w:caps/>
          <w:sz w:val="18"/>
          <w:szCs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rFonts w:ascii="Arial Narrow" w:hAnsi="Arial Narrow" w:eastAsia="Arial Narrow" w:cs="Arial Narrow"/>
          <w:caps/>
          <w:sz w:val="16"/>
          <w:szCs w:val="16"/>
        </w:rPr>
      </w:pPr>
      <w:r>
        <w:rPr>
          <w:rFonts w:eastAsia="Arial Narrow" w:cs="Arial Narrow" w:ascii="Arial Narrow" w:hAnsi="Arial Narrow"/>
          <w:caps/>
          <w:sz w:val="16"/>
          <w:szCs w:val="16"/>
        </w:rPr>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/mnt/main-storage/datasets/enron-docs/doc/2001_023crfm.doc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/mnt/main-storage/datasets/enron-docs/doc/2001_023crfm.doc</w:t>
    </w:r>
    <w:r>
      <w:rPr>
        <w:sz w:val="12"/>
        <w:szCs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eastAsia="Arial Narrow" w:cs="Arial Narrow"/>
        <w:sz w:val="20"/>
        <w:szCs w:val="20"/>
      </w:rPr>
    </w:pPr>
    <w:r>
      <w:rPr>
        <w:rFonts w:eastAsia="Arial Narrow" w:cs="Arial Narrow" w:ascii="Arial Narrow" w:hAnsi="Arial Narrow"/>
        <w:sz w:val="20"/>
        <w:szCs w:val="20"/>
      </w:rPr>
      <w:t>Crestar Energy Marketing Corp.</w:t>
    </w:r>
  </w:p>
  <w:p>
    <w:pPr>
      <w:pStyle w:val="Header"/>
      <w:rPr>
        <w:rFonts w:ascii="Arial Narrow" w:hAnsi="Arial Narrow" w:eastAsia="Arial Narrow" w:cs="Arial Narrow"/>
        <w:sz w:val="20"/>
        <w:szCs w:val="20"/>
      </w:rPr>
    </w:pPr>
    <w:r>
      <w:rPr>
        <w:rFonts w:eastAsia="Arial Narrow" w:cs="Arial Narrow" w:ascii="Arial Narrow" w:hAnsi="Arial Narrow"/>
        <w:sz w:val="20"/>
        <w:szCs w:val="20"/>
      </w:rPr>
      <w:t xml:space="preserve">March 22, 2001 </w:t>
    </w:r>
  </w:p>
  <w:p>
    <w:pPr>
      <w:pStyle w:val="Header"/>
      <w:rPr>
        <w:rStyle w:val="PageNumber"/>
        <w:rFonts w:ascii="Arial Narrow" w:hAnsi="Arial Narrow" w:eastAsia="Arial Narrow" w:cs="Arial Narrow"/>
        <w:sz w:val="20"/>
        <w:szCs w:val="20"/>
      </w:rPr>
    </w:pPr>
    <w:r>
      <w:rPr>
        <w:rFonts w:eastAsia="Arial Narrow" w:cs="Arial Narrow" w:ascii="Arial Narrow" w:hAnsi="Arial Narrow"/>
        <w:sz w:val="20"/>
        <w:szCs w:val="20"/>
      </w:rPr>
      <w:t xml:space="preserve">Page </w:t>
    </w:r>
    <w:r>
      <w:rPr>
        <w:rStyle w:val="PageNumber"/>
        <w:rFonts w:eastAsia="Arial Narrow" w:cs="Arial Narrow" w:ascii="Arial Narrow" w:hAnsi="Arial Narrow"/>
        <w:sz w:val="20"/>
        <w:szCs w:val="20"/>
      </w:rPr>
      <w:fldChar w:fldCharType="begin"/>
    </w:r>
    <w:r>
      <w:rPr>
        <w:rStyle w:val="PageNumber"/>
        <w:sz w:val="20"/>
        <w:szCs w:val="20"/>
        <w:rFonts w:eastAsia="Arial Narrow" w:cs="Arial Narrow" w:ascii="Arial Narrow" w:hAnsi="Arial Narrow"/>
      </w:rPr>
      <w:instrText xml:space="preserve"> PAGE </w:instrText>
    </w:r>
    <w:r>
      <w:rPr>
        <w:rStyle w:val="PageNumber"/>
        <w:sz w:val="20"/>
        <w:szCs w:val="20"/>
        <w:rFonts w:eastAsia="Arial Narrow" w:cs="Arial Narrow" w:ascii="Arial Narrow" w:hAnsi="Arial Narrow"/>
      </w:rPr>
      <w:fldChar w:fldCharType="separate"/>
    </w:r>
    <w:r>
      <w:rPr>
        <w:rStyle w:val="PageNumber"/>
        <w:sz w:val="20"/>
        <w:szCs w:val="20"/>
        <w:rFonts w:eastAsia="Arial Narrow" w:cs="Arial Narrow" w:ascii="Arial Narrow" w:hAnsi="Arial Narrow"/>
      </w:rPr>
      <w:t>5</w:t>
    </w:r>
    <w:r>
      <w:rPr>
        <w:rStyle w:val="PageNumber"/>
        <w:sz w:val="20"/>
        <w:szCs w:val="20"/>
        <w:rFonts w:eastAsia="Arial Narrow" w:cs="Arial Narrow" w:ascii="Arial Narrow" w:hAnsi="Arial Narrow"/>
      </w:rPr>
      <w:fldChar w:fldCharType="end"/>
    </w:r>
  </w:p>
  <w:p>
    <w:pPr>
      <w:pStyle w:val="Header"/>
      <w:rPr>
        <w:rStyle w:val="PageNumber"/>
        <w:rFonts w:ascii="Arial Narrow" w:hAnsi="Arial Narrow" w:eastAsia="Arial Narrow" w:cs="Arial Narrow"/>
        <w:sz w:val="20"/>
        <w:szCs w:val="20"/>
      </w:rPr>
    </w:pPr>
    <w:r>
      <w:rPr/>
    </w:r>
  </w:p>
  <w:p>
    <w:pPr>
      <w:pStyle w:val="Header"/>
      <w:rPr>
        <w:rStyle w:val="PageNumber"/>
        <w:rFonts w:ascii="Arial Narrow" w:hAnsi="Arial Narrow" w:eastAsia="Arial Narrow" w:cs="Arial Narrow"/>
        <w:sz w:val="20"/>
        <w:szCs w:val="20"/>
      </w:rPr>
    </w:pPr>
    <w:r>
      <w:rPr/>
    </w:r>
  </w:p>
  <w:p>
    <w:pPr>
      <w:pStyle w:val="Header"/>
      <w:rPr>
        <w:rFonts w:ascii="Arial Narrow" w:hAnsi="Arial Narrow" w:eastAsia="Arial Narrow" w:cs="Arial Narrow"/>
        <w:sz w:val="20"/>
        <w:szCs w:val="20"/>
      </w:rPr>
    </w:pPr>
    <w:r>
      <w:rPr>
        <w:rFonts w:eastAsia="Arial Narrow" w:cs="Arial Narrow" w:ascii="Arial Narrow" w:hAnsi="Arial Narrow"/>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2001-03-05T19:15:00Z</dcterms:created>
  <dc:creator>vv24f</dc:creator>
  <dc:description/>
  <dc:language>en-CA</dc:language>
  <cp:lastModifiedBy>dhyvl</cp:lastModifiedBy>
  <cp:lastPrinted>2001-04-09T10:55:00Z</cp:lastPrinted>
  <dcterms:modified xsi:type="dcterms:W3CDTF">2001-04-09T13:31:00Z</dcterms:modified>
  <cp:revision>10</cp:revision>
  <dc:subject/>
  <dc:title>ENFOLIO* "SPOT"  CONFIRMATION--MASTER "SPOT" PURCHASE/SALE AGREEMENT GOVERNS</dc:title>
</cp:coreProperties>
</file>