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emf" ContentType="image/x-e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998" w:type="dxa"/>
        <w:jc w:val="start"/>
        <w:tblInd w:w="0" w:type="dxa"/>
        <w:tblLayout w:type="fixed"/>
        <w:tblCellMar>
          <w:top w:w="0" w:type="dxa"/>
          <w:start w:w="108" w:type="dxa"/>
          <w:bottom w:w="0" w:type="dxa"/>
          <w:end w:w="108" w:type="dxa"/>
        </w:tblCellMar>
      </w:tblPr>
      <w:tblGrid>
        <w:gridCol w:w="4601"/>
        <w:gridCol w:w="6397"/>
      </w:tblGrid>
      <w:tr>
        <w:trPr/>
        <w:tc>
          <w:tcPr>
            <w:tcW w:w="4601" w:type="dxa"/>
            <w:tcBorders>
              <w:top w:val="dashed" w:sz="6" w:space="0" w:color="auto"/>
              <w:start w:val="dashed" w:sz="6" w:space="0" w:color="auto"/>
              <w:bottom w:val="dashed" w:sz="6" w:space="0" w:color="auto"/>
              <w:end w:val="dashed" w:sz="6" w:space="0" w:color="auto"/>
            </w:tcBorders>
          </w:tcPr>
          <w:p>
            <w:pPr>
              <w:pStyle w:val="Header"/>
              <w:rPr>
                <w:sz w:val="20"/>
                <w:szCs w:val="20"/>
              </w:rPr>
            </w:pPr>
            <w:r>
              <w:rPr>
                <w:sz w:val="20"/>
                <w:szCs w:val="20"/>
              </w:rPr>
              <w:drawing>
                <wp:inline distT="0" distB="0" distL="0" distR="0">
                  <wp:extent cx="994410" cy="98742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tretch>
                            <a:fillRect/>
                          </a:stretch>
                        </pic:blipFill>
                        <pic:spPr bwMode="auto">
                          <a:xfrm>
                            <a:off x="0" y="0"/>
                            <a:ext cx="994410" cy="987425"/>
                          </a:xfrm>
                          <a:prstGeom prst="rect">
                            <a:avLst/>
                          </a:prstGeom>
                          <a:noFill/>
                        </pic:spPr>
                      </pic:pic>
                    </a:graphicData>
                  </a:graphic>
                </wp:inline>
              </w:drawing>
            </w:r>
          </w:p>
        </w:tc>
        <w:tc>
          <w:tcPr>
            <w:tcW w:w="6397" w:type="dxa"/>
            <w:tcBorders>
              <w:top w:val="dashed" w:sz="6" w:space="0" w:color="auto"/>
              <w:start w:val="dashed" w:sz="6" w:space="0" w:color="auto"/>
              <w:bottom w:val="dashed" w:sz="6" w:space="0" w:color="auto"/>
              <w:end w:val="dashed" w:sz="6" w:space="0" w:color="auto"/>
            </w:tcBorders>
          </w:tcPr>
          <w:p>
            <w:pPr>
              <w:pStyle w:val="Header"/>
              <w:snapToGrid w:val="false"/>
              <w:ind w:start="3319" w:end="0"/>
              <w:rPr>
                <w:rFonts w:ascii="Arial" w:hAnsi="Arial" w:eastAsia="Arial" w:cs="Arial"/>
                <w:b/>
                <w:bCs/>
                <w:sz w:val="18"/>
                <w:szCs w:val="18"/>
              </w:rPr>
            </w:pPr>
            <w:r>
              <w:rPr>
                <w:rFonts w:eastAsia="Arial" w:cs="Arial" w:ascii="Arial" w:hAnsi="Arial"/>
                <w:b/>
                <w:bCs/>
                <w:sz w:val="18"/>
                <w:szCs w:val="18"/>
              </w:rPr>
            </w:r>
          </w:p>
          <w:p>
            <w:pPr>
              <w:pStyle w:val="Header"/>
              <w:ind w:start="1969" w:end="0"/>
              <w:rPr>
                <w:rFonts w:ascii="Arial" w:hAnsi="Arial" w:eastAsia="Arial" w:cs="Arial"/>
                <w:b/>
                <w:bCs/>
                <w:sz w:val="18"/>
                <w:szCs w:val="18"/>
              </w:rPr>
            </w:pPr>
            <w:r>
              <w:rPr>
                <w:rFonts w:eastAsia="Arial" w:cs="Arial" w:ascii="Arial" w:hAnsi="Arial"/>
                <w:b/>
                <w:bCs/>
                <w:sz w:val="18"/>
                <w:szCs w:val="18"/>
              </w:rPr>
            </w:r>
          </w:p>
          <w:p>
            <w:pPr>
              <w:pStyle w:val="Header"/>
              <w:ind w:firstLine="1350" w:start="1969" w:end="0"/>
              <w:rPr>
                <w:rFonts w:ascii="Arial" w:hAnsi="Arial" w:eastAsia="Arial" w:cs="Arial"/>
                <w:b/>
                <w:bCs/>
                <w:sz w:val="18"/>
                <w:szCs w:val="18"/>
              </w:rPr>
            </w:pPr>
            <w:r>
              <w:rPr>
                <w:rFonts w:eastAsia="Arial" w:cs="Arial" w:ascii="Arial" w:hAnsi="Arial"/>
                <w:b/>
                <w:bCs/>
                <w:sz w:val="18"/>
                <w:szCs w:val="18"/>
              </w:rPr>
              <w:t>Enron North America Corp.</w:t>
            </w:r>
          </w:p>
          <w:p>
            <w:pPr>
              <w:pStyle w:val="Header"/>
              <w:ind w:firstLine="1350" w:start="1969" w:end="0"/>
              <w:rPr>
                <w:rFonts w:ascii="Arial" w:hAnsi="Arial" w:eastAsia="Arial" w:cs="Arial"/>
                <w:i/>
                <w:i/>
                <w:iCs/>
                <w:sz w:val="16"/>
                <w:szCs w:val="16"/>
              </w:rPr>
            </w:pPr>
            <w:r>
              <w:rPr>
                <w:rFonts w:eastAsia="Arial" w:cs="Arial" w:ascii="Arial" w:hAnsi="Arial"/>
                <w:i/>
                <w:iCs/>
                <w:sz w:val="16"/>
                <w:szCs w:val="16"/>
              </w:rPr>
              <w:t>P.O. Box 1188</w:t>
            </w:r>
          </w:p>
          <w:p>
            <w:pPr>
              <w:pStyle w:val="Header"/>
              <w:ind w:firstLine="1350" w:start="1969" w:end="0"/>
              <w:rPr>
                <w:rFonts w:ascii="Arial" w:hAnsi="Arial" w:eastAsia="Arial" w:cs="Arial"/>
                <w:i/>
                <w:i/>
                <w:iCs/>
                <w:sz w:val="16"/>
                <w:szCs w:val="16"/>
              </w:rPr>
            </w:pPr>
            <w:r>
              <w:rPr>
                <w:rFonts w:eastAsia="Arial" w:cs="Arial" w:ascii="Arial" w:hAnsi="Arial"/>
                <w:i/>
                <w:iCs/>
                <w:sz w:val="16"/>
                <w:szCs w:val="16"/>
              </w:rPr>
              <w:t>Houston, TX  77251-1188</w:t>
            </w:r>
          </w:p>
          <w:p>
            <w:pPr>
              <w:pStyle w:val="Header"/>
              <w:ind w:start="1969" w:end="0"/>
              <w:rPr>
                <w:rFonts w:ascii="Arial" w:hAnsi="Arial" w:eastAsia="Arial" w:cs="Arial"/>
                <w:i/>
                <w:i/>
                <w:iCs/>
                <w:sz w:val="16"/>
                <w:szCs w:val="16"/>
              </w:rPr>
            </w:pPr>
            <w:r>
              <w:rPr>
                <w:rFonts w:eastAsia="Arial" w:cs="Arial" w:ascii="Arial" w:hAnsi="Arial"/>
                <w:i/>
                <w:iCs/>
                <w:sz w:val="16"/>
                <w:szCs w:val="16"/>
              </w:rPr>
            </w:r>
          </w:p>
          <w:p>
            <w:pPr>
              <w:pStyle w:val="Header"/>
              <w:ind w:start="1969" w:end="0"/>
              <w:rPr>
                <w:rFonts w:ascii="Arial" w:hAnsi="Arial" w:eastAsia="Arial" w:cs="Arial"/>
                <w:i/>
                <w:i/>
                <w:iCs/>
                <w:sz w:val="16"/>
                <w:szCs w:val="16"/>
              </w:rPr>
            </w:pPr>
            <w:r>
              <w:rPr>
                <w:rFonts w:eastAsia="Arial" w:cs="Arial" w:ascii="Arial" w:hAnsi="Arial"/>
                <w:i/>
                <w:iCs/>
                <w:sz w:val="16"/>
                <w:szCs w:val="16"/>
              </w:rPr>
            </w:r>
          </w:p>
        </w:tc>
      </w:tr>
    </w:tbl>
    <w:p>
      <w:pPr>
        <w:pStyle w:val="Normal"/>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Normal"/>
        <w:jc w:val="center"/>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Normal"/>
        <w:jc w:val="center"/>
        <w:rPr>
          <w:rFonts w:ascii="Arial Narrow" w:hAnsi="Arial Narrow" w:eastAsia="Arial Narrow" w:cs="Arial Narrow"/>
          <w:sz w:val="20"/>
          <w:szCs w:val="20"/>
        </w:rPr>
      </w:pPr>
      <w:r>
        <w:rPr>
          <w:rFonts w:eastAsia="Arial Narrow" w:cs="Arial Narrow" w:ascii="Arial Narrow" w:hAnsi="Arial Narrow"/>
          <w:sz w:val="20"/>
          <w:szCs w:val="20"/>
        </w:rPr>
        <w:t>March 22, 2001</w:t>
      </w:r>
    </w:p>
    <w:p>
      <w:pPr>
        <w:pStyle w:val="Normal"/>
        <w:jc w:val="center"/>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Normal"/>
        <w:jc w:val="center"/>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FootnoteText"/>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Normal"/>
        <w:jc w:val="center"/>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Normal"/>
        <w:rPr>
          <w:rFonts w:ascii="Arial Narrow" w:hAnsi="Arial Narrow" w:eastAsia="Arial Narrow" w:cs="Arial Narrow"/>
          <w:sz w:val="20"/>
          <w:szCs w:val="20"/>
        </w:rPr>
      </w:pPr>
      <w:r>
        <w:rPr>
          <w:rFonts w:eastAsia="Arial Narrow" w:cs="Arial Narrow" w:ascii="Arial Narrow" w:hAnsi="Arial Narrow"/>
          <w:sz w:val="20"/>
          <w:szCs w:val="20"/>
        </w:rPr>
        <w:t>Crestar Energy Marketing Corp.</w:t>
      </w:r>
    </w:p>
    <w:p>
      <w:pPr>
        <w:pStyle w:val="Normal"/>
        <w:rPr/>
      </w:pPr>
      <w:r>
        <w:rPr>
          <w:rFonts w:eastAsia="Arial Narrow" w:cs="Arial Narrow" w:ascii="Arial Narrow" w:hAnsi="Arial Narrow"/>
          <w:sz w:val="20"/>
          <w:szCs w:val="20"/>
        </w:rPr>
        <w:t>333-7</w:t>
      </w:r>
      <w:r>
        <w:rPr>
          <w:rFonts w:eastAsia="Arial Narrow" w:cs="Arial Narrow" w:ascii="Arial Narrow" w:hAnsi="Arial Narrow"/>
          <w:sz w:val="20"/>
          <w:szCs w:val="20"/>
          <w:vertAlign w:val="superscript"/>
        </w:rPr>
        <w:t>th</w:t>
      </w:r>
      <w:r>
        <w:rPr>
          <w:rFonts w:eastAsia="Arial Narrow" w:cs="Arial Narrow" w:ascii="Arial Narrow" w:hAnsi="Arial Narrow"/>
          <w:sz w:val="20"/>
          <w:szCs w:val="20"/>
        </w:rPr>
        <w:t xml:space="preserve"> Ave. S. W.</w:t>
      </w:r>
    </w:p>
    <w:p>
      <w:pPr>
        <w:pStyle w:val="Normal"/>
        <w:rPr>
          <w:rFonts w:ascii="Arial Narrow" w:hAnsi="Arial Narrow" w:eastAsia="Arial Narrow" w:cs="Arial Narrow"/>
          <w:sz w:val="20"/>
          <w:szCs w:val="20"/>
        </w:rPr>
      </w:pPr>
      <w:r>
        <w:rPr>
          <w:rFonts w:eastAsia="Arial Narrow" w:cs="Arial Narrow" w:ascii="Arial Narrow" w:hAnsi="Arial Narrow"/>
          <w:sz w:val="20"/>
          <w:szCs w:val="20"/>
        </w:rPr>
        <w:t>Calgary, Alberta T2P 4M8</w:t>
      </w:r>
    </w:p>
    <w:p>
      <w:pPr>
        <w:pStyle w:val="Normal"/>
        <w:rPr>
          <w:rFonts w:ascii="Arial Narrow" w:hAnsi="Arial Narrow" w:eastAsia="Arial Narrow" w:cs="Arial Narrow"/>
          <w:sz w:val="20"/>
          <w:szCs w:val="20"/>
        </w:rPr>
      </w:pPr>
      <w:r>
        <w:rPr>
          <w:rFonts w:eastAsia="Arial Narrow" w:cs="Arial Narrow" w:ascii="Arial Narrow" w:hAnsi="Arial Narrow"/>
          <w:sz w:val="20"/>
          <w:szCs w:val="20"/>
        </w:rPr>
      </w:r>
    </w:p>
    <w:p>
      <w:pPr>
        <w:pStyle w:val="Normal"/>
        <w:rPr>
          <w:rFonts w:ascii="Arial Narrow" w:hAnsi="Arial Narrow" w:eastAsia="Arial Narrow" w:cs="Arial Narrow"/>
          <w:b/>
          <w:bCs/>
          <w:sz w:val="20"/>
          <w:szCs w:val="20"/>
        </w:rPr>
      </w:pPr>
      <w:r>
        <w:rPr>
          <w:rFonts w:eastAsia="Arial Narrow" w:cs="Arial Narrow" w:ascii="Arial Narrow" w:hAnsi="Arial Narrow"/>
          <w:sz w:val="20"/>
          <w:szCs w:val="20"/>
        </w:rPr>
        <w:tab/>
        <w:t>Re:</w:t>
        <w:tab/>
        <w:t>Transaction No. 1a</w:t>
      </w:r>
    </w:p>
    <w:p>
      <w:pPr>
        <w:pStyle w:val="Normal"/>
        <w:jc w:val="center"/>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Normal"/>
        <w:jc w:val="center"/>
        <w:rPr>
          <w:rFonts w:ascii="Arial Narrow" w:hAnsi="Arial Narrow" w:eastAsia="Arial Narrow" w:cs="Arial Narrow"/>
          <w:sz w:val="20"/>
          <w:szCs w:val="20"/>
        </w:rPr>
      </w:pPr>
      <w:r>
        <w:rPr>
          <w:rFonts w:eastAsia="Arial Narrow" w:cs="Arial Narrow" w:ascii="Arial Narrow" w:hAnsi="Arial Narrow"/>
          <w:b/>
          <w:bCs/>
          <w:sz w:val="20"/>
          <w:szCs w:val="20"/>
        </w:rPr>
        <w:t>ENFOLIO</w:t>
      </w:r>
      <w:r>
        <w:rPr>
          <w:rFonts w:eastAsia="Symbol" w:cs="Symbol" w:ascii="Symbol" w:hAnsi="Symbol"/>
          <w:b/>
          <w:bCs/>
          <w:position w:val="6"/>
          <w:sz w:val="20"/>
          <w:szCs w:val="20"/>
        </w:rPr>
        <w:sym w:font="Symbol" w:char="e2"/>
      </w:r>
      <w:r>
        <w:rPr>
          <w:rFonts w:eastAsia="Arial Narrow" w:cs="Arial Narrow" w:ascii="Arial Narrow" w:hAnsi="Arial Narrow"/>
          <w:b/>
          <w:bCs/>
          <w:position w:val="6"/>
          <w:sz w:val="20"/>
          <w:szCs w:val="20"/>
        </w:rPr>
        <w:t xml:space="preserve"> </w:t>
      </w:r>
      <w:r>
        <w:rPr>
          <w:rFonts w:eastAsia="Arial Narrow" w:cs="Arial Narrow" w:ascii="Arial Narrow" w:hAnsi="Arial Narrow"/>
          <w:b/>
          <w:bCs/>
          <w:sz w:val="20"/>
          <w:szCs w:val="20"/>
        </w:rPr>
        <w:t>"SPOT" CONFIRMATION--ENFOLIO</w:t>
      </w:r>
      <w:r>
        <w:rPr>
          <w:rFonts w:eastAsia="Symbol" w:cs="Symbol" w:ascii="Symbol" w:hAnsi="Symbol"/>
          <w:b/>
          <w:bCs/>
          <w:position w:val="6"/>
          <w:sz w:val="20"/>
          <w:szCs w:val="20"/>
        </w:rPr>
        <w:sym w:font="Symbol" w:char="e2"/>
      </w:r>
      <w:r>
        <w:rPr>
          <w:rFonts w:eastAsia="Arial Narrow" w:cs="Arial Narrow" w:ascii="Arial Narrow" w:hAnsi="Arial Narrow"/>
          <w:b/>
          <w:bCs/>
          <w:sz w:val="20"/>
          <w:szCs w:val="20"/>
        </w:rPr>
        <w:t xml:space="preserve"> "SPOT" GENERAL TERMS &amp; CONDITIONS GOVERN</w:t>
      </w:r>
    </w:p>
    <w:p>
      <w:pPr>
        <w:pStyle w:val="Normal"/>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Normal"/>
        <w:jc w:val="both"/>
        <w:rPr/>
      </w:pPr>
      <w:r>
        <w:rPr>
          <w:rFonts w:eastAsia="Arial Narrow" w:cs="Arial Narrow" w:ascii="Arial Narrow" w:hAnsi="Arial Narrow"/>
          <w:sz w:val="20"/>
          <w:szCs w:val="20"/>
        </w:rPr>
        <w:t>This Spot Confirmation shall confirm the Transaction agreed to and shall be binding between Crestar Energy Marketing Corp. ("</w:t>
      </w:r>
      <w:r>
        <w:rPr>
          <w:rFonts w:eastAsia="Arial Narrow" w:cs="Arial Narrow" w:ascii="Arial Narrow" w:hAnsi="Arial Narrow"/>
          <w:sz w:val="20"/>
          <w:szCs w:val="20"/>
          <w:u w:val="single"/>
        </w:rPr>
        <w:t>Cresta</w:t>
      </w:r>
      <w:r>
        <w:rPr>
          <w:rFonts w:eastAsia="Arial Narrow" w:cs="Arial Narrow" w:ascii="Arial Narrow" w:hAnsi="Arial Narrow"/>
          <w:sz w:val="20"/>
          <w:szCs w:val="20"/>
        </w:rPr>
        <w:t>r" or "</w:t>
      </w:r>
      <w:r>
        <w:rPr>
          <w:rFonts w:eastAsia="Arial Narrow" w:cs="Arial Narrow" w:ascii="Arial Narrow" w:hAnsi="Arial Narrow"/>
          <w:sz w:val="20"/>
          <w:szCs w:val="20"/>
          <w:u w:val="single"/>
        </w:rPr>
        <w:t>Customer</w:t>
      </w:r>
      <w:r>
        <w:rPr>
          <w:rFonts w:eastAsia="Arial Narrow" w:cs="Arial Narrow" w:ascii="Arial Narrow" w:hAnsi="Arial Narrow"/>
          <w:sz w:val="20"/>
          <w:szCs w:val="20"/>
        </w:rPr>
        <w:t>") and Enron North America Corp. ("</w:t>
      </w:r>
      <w:r>
        <w:rPr>
          <w:rFonts w:eastAsia="Arial Narrow" w:cs="Arial Narrow" w:ascii="Arial Narrow" w:hAnsi="Arial Narrow"/>
          <w:sz w:val="20"/>
          <w:szCs w:val="20"/>
          <w:u w:val="single"/>
        </w:rPr>
        <w:t>Enron</w:t>
      </w:r>
      <w:r>
        <w:rPr>
          <w:rFonts w:eastAsia="Arial Narrow" w:cs="Arial Narrow" w:ascii="Arial Narrow" w:hAnsi="Arial Narrow"/>
          <w:sz w:val="20"/>
          <w:szCs w:val="20"/>
        </w:rPr>
        <w:t>" or "</w:t>
      </w:r>
      <w:r>
        <w:rPr>
          <w:rFonts w:eastAsia="Arial Narrow" w:cs="Arial Narrow" w:ascii="Arial Narrow" w:hAnsi="Arial Narrow"/>
          <w:sz w:val="20"/>
          <w:szCs w:val="20"/>
          <w:u w:val="single"/>
        </w:rPr>
        <w:t>Company</w:t>
      </w:r>
      <w:r>
        <w:rPr>
          <w:rFonts w:eastAsia="Arial Narrow" w:cs="Arial Narrow" w:ascii="Arial Narrow" w:hAnsi="Arial Narrow"/>
          <w:sz w:val="20"/>
          <w:szCs w:val="20"/>
        </w:rPr>
        <w:t>") regarding the purchase and sale of Gas on the terms below.  Company shall purchase and receive (</w:t>
      </w:r>
      <w:r>
        <w:rPr>
          <w:rFonts w:eastAsia="Arial Narrow" w:cs="Arial Narrow" w:ascii="Arial Narrow" w:hAnsi="Arial Narrow"/>
          <w:b/>
          <w:bCs/>
          <w:sz w:val="20"/>
          <w:szCs w:val="20"/>
        </w:rPr>
        <w:t>Buyer</w:t>
      </w:r>
      <w:r>
        <w:rPr>
          <w:rFonts w:eastAsia="Arial Narrow" w:cs="Arial Narrow" w:ascii="Arial Narrow" w:hAnsi="Arial Narrow"/>
          <w:sz w:val="20"/>
          <w:szCs w:val="20"/>
        </w:rPr>
        <w:t>) and Customer shall sell and deliver (</w:t>
      </w:r>
      <w:r>
        <w:rPr>
          <w:rFonts w:eastAsia="Arial Narrow" w:cs="Arial Narrow" w:ascii="Arial Narrow" w:hAnsi="Arial Narrow"/>
          <w:b/>
          <w:bCs/>
          <w:sz w:val="20"/>
          <w:szCs w:val="20"/>
        </w:rPr>
        <w:t>Seller</w:t>
      </w:r>
      <w:r>
        <w:rPr>
          <w:rFonts w:eastAsia="Arial Narrow" w:cs="Arial Narrow" w:ascii="Arial Narrow" w:hAnsi="Arial Narrow"/>
          <w:sz w:val="20"/>
          <w:szCs w:val="20"/>
        </w:rPr>
        <w:t>):  This Spot Confirmation - Transaction No. 1a and the Spot Confirmation – Transaction No. 1 of even date herewith are being provided as a replacement to that certain Spot Confirmation dated January 4, 2001 covering the subject matter hereof, and by its acceptance hereof Crestar acknowledges and agrees that such Spot Confirmation dated January 4, 2001 is null and void and of no further force and effect from and after the date hereof.</w:t>
      </w:r>
    </w:p>
    <w:p>
      <w:pPr>
        <w:pStyle w:val="Normal"/>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Normal"/>
        <w:jc w:val="both"/>
        <w:rPr/>
      </w:pPr>
      <w:r>
        <w:rPr>
          <w:rFonts w:eastAsia="Arial Narrow" w:cs="Arial Narrow" w:ascii="Arial Narrow" w:hAnsi="Arial Narrow"/>
          <w:b/>
          <w:bCs/>
          <w:sz w:val="20"/>
          <w:szCs w:val="20"/>
        </w:rPr>
        <w:t>TRANSACTION NUMBER:</w:t>
      </w:r>
      <w:r>
        <w:rPr>
          <w:rFonts w:eastAsia="Arial Narrow" w:cs="Arial Narrow" w:ascii="Arial Narrow" w:hAnsi="Arial Narrow"/>
          <w:sz w:val="20"/>
          <w:szCs w:val="20"/>
        </w:rPr>
        <w:t xml:space="preserve">  NV8176/370753</w:t>
      </w:r>
    </w:p>
    <w:p>
      <w:pPr>
        <w:pStyle w:val="Normal"/>
        <w:tabs>
          <w:tab w:val="clear" w:pos="720"/>
          <w:tab w:val="left" w:pos="8640" w:leader="none"/>
        </w:tabs>
        <w:ind w:hanging="5580" w:start="5580" w:end="0"/>
        <w:jc w:val="both"/>
        <w:rPr>
          <w:rFonts w:ascii="Arial Narrow" w:hAnsi="Arial Narrow" w:eastAsia="Arial Narrow" w:cs="Arial Narrow"/>
          <w:sz w:val="20"/>
          <w:szCs w:val="20"/>
        </w:rPr>
      </w:pPr>
      <w:r>
        <w:rPr>
          <w:rFonts w:eastAsia="Arial Narrow" w:cs="Arial Narrow" w:ascii="Arial Narrow" w:hAnsi="Arial Narrow"/>
          <w:b/>
          <w:bCs/>
          <w:sz w:val="20"/>
          <w:szCs w:val="20"/>
        </w:rPr>
        <w:t>TIER OF GAS:</w:t>
      </w:r>
      <w:r>
        <w:rPr>
          <w:rFonts w:eastAsia="Arial Narrow" w:cs="Arial Narrow" w:ascii="Arial Narrow" w:hAnsi="Arial Narrow"/>
          <w:sz w:val="20"/>
          <w:szCs w:val="20"/>
        </w:rPr>
        <w:t xml:space="preserve">  (Authorized Overrun Service) a</w:t>
      </w:r>
      <w:r>
        <w:rPr>
          <w:rFonts w:eastAsia="Arial Narrow" w:cs="Arial Narrow" w:ascii="Arial Narrow" w:hAnsi="Arial Narrow"/>
          <w:color w:val="000000"/>
          <w:sz w:val="20"/>
          <w:szCs w:val="20"/>
        </w:rPr>
        <w:t>s specified in OTHER TERMS, below.</w:t>
      </w:r>
    </w:p>
    <w:p>
      <w:pPr>
        <w:pStyle w:val="Normal"/>
        <w:tabs>
          <w:tab w:val="clear" w:pos="720"/>
          <w:tab w:val="left" w:pos="8640" w:leader="none"/>
        </w:tabs>
        <w:jc w:val="both"/>
        <w:rPr>
          <w:rFonts w:ascii="Arial Narrow" w:hAnsi="Arial Narrow" w:eastAsia="Arial Narrow" w:cs="Arial Narrow"/>
          <w:sz w:val="20"/>
          <w:szCs w:val="20"/>
        </w:rPr>
      </w:pPr>
      <w:r>
        <w:rPr>
          <w:rFonts w:eastAsia="Arial Narrow" w:cs="Arial Narrow" w:ascii="Arial Narrow" w:hAnsi="Arial Narrow"/>
          <w:b/>
          <w:bCs/>
          <w:sz w:val="20"/>
          <w:szCs w:val="20"/>
        </w:rPr>
        <w:t xml:space="preserve">DCQ (IN MMBTUS): </w:t>
      </w:r>
      <w:r>
        <w:rPr>
          <w:rFonts w:eastAsia="Arial Narrow" w:cs="Arial Narrow" w:ascii="Arial Narrow" w:hAnsi="Arial Narrow"/>
          <w:sz w:val="20"/>
          <w:szCs w:val="20"/>
        </w:rPr>
        <w:t xml:space="preserve"> A variable quantity between 0 MMBtu per day and 8,260 MMBtu per day, </w:t>
      </w:r>
      <w:r>
        <w:rPr>
          <w:rFonts w:eastAsia="Arial Narrow" w:cs="Arial Narrow" w:ascii="Arial Narrow" w:hAnsi="Arial Narrow"/>
          <w:color w:val="000000"/>
          <w:sz w:val="20"/>
          <w:szCs w:val="20"/>
        </w:rPr>
        <w:t>as specified in OTHER TERMS, below.</w:t>
      </w:r>
    </w:p>
    <w:p>
      <w:pPr>
        <w:pStyle w:val="Normal"/>
        <w:tabs>
          <w:tab w:val="clear" w:pos="720"/>
          <w:tab w:val="left" w:pos="8640" w:leader="none"/>
        </w:tabs>
        <w:jc w:val="both"/>
        <w:rPr>
          <w:rFonts w:ascii="Arial Narrow" w:hAnsi="Arial Narrow" w:eastAsia="Arial Narrow" w:cs="Arial Narrow"/>
          <w:sz w:val="20"/>
          <w:szCs w:val="20"/>
        </w:rPr>
      </w:pPr>
      <w:r>
        <w:rPr>
          <w:rFonts w:eastAsia="Arial Narrow" w:cs="Arial Narrow" w:ascii="Arial Narrow" w:hAnsi="Arial Narrow"/>
          <w:b/>
          <w:bCs/>
          <w:sz w:val="20"/>
          <w:szCs w:val="20"/>
        </w:rPr>
        <w:t>DELIVERY POINT(S):</w:t>
      </w:r>
      <w:r>
        <w:rPr>
          <w:rFonts w:eastAsia="Arial Narrow" w:cs="Arial Narrow" w:ascii="Arial Narrow" w:hAnsi="Arial Narrow"/>
          <w:sz w:val="20"/>
          <w:szCs w:val="20"/>
        </w:rPr>
        <w:t xml:space="preserve">  </w:t>
      </w:r>
      <w:r>
        <w:rPr>
          <w:rFonts w:eastAsia="Arial Narrow" w:cs="Arial Narrow" w:ascii="Arial Narrow" w:hAnsi="Arial Narrow"/>
          <w:color w:val="000000"/>
          <w:sz w:val="20"/>
          <w:szCs w:val="20"/>
        </w:rPr>
        <w:t>The interconnect of ANR Pipeline Co. (Joliet) and Alliance Pipeline Limited ("Alliance"); provided, that Customer will use reasonable efforts to arrange deliveries to alternate downstream pipelines as Company may request in accordance with the procedures specified in OTHER TERMS, below.</w:t>
      </w:r>
    </w:p>
    <w:p>
      <w:pPr>
        <w:pStyle w:val="Normal"/>
        <w:tabs>
          <w:tab w:val="clear" w:pos="720"/>
          <w:tab w:val="left" w:pos="8640" w:leader="none"/>
        </w:tabs>
        <w:jc w:val="both"/>
        <w:rPr/>
      </w:pPr>
      <w:r>
        <w:rPr>
          <w:rFonts w:eastAsia="Arial Narrow" w:cs="Arial Narrow" w:ascii="Arial Narrow" w:hAnsi="Arial Narrow"/>
          <w:b/>
          <w:bCs/>
          <w:sz w:val="20"/>
          <w:szCs w:val="20"/>
        </w:rPr>
        <w:t xml:space="preserve">PERIOD OF DELIVERY: </w:t>
      </w:r>
      <w:r>
        <w:rPr>
          <w:rFonts w:eastAsia="Arial Narrow" w:cs="Arial Narrow" w:ascii="Arial Narrow" w:hAnsi="Arial Narrow"/>
          <w:sz w:val="20"/>
          <w:szCs w:val="20"/>
        </w:rPr>
        <w:t xml:space="preserve"> November 1, 2000 through October 31, 2001</w:t>
      </w:r>
    </w:p>
    <w:p>
      <w:pPr>
        <w:pStyle w:val="Normal"/>
        <w:jc w:val="both"/>
        <w:rPr/>
      </w:pPr>
      <w:r>
        <w:rPr>
          <w:rFonts w:eastAsia="Arial Narrow" w:cs="Arial Narrow" w:ascii="Arial Narrow" w:hAnsi="Arial Narrow"/>
          <w:b/>
          <w:bCs/>
          <w:sz w:val="20"/>
          <w:szCs w:val="20"/>
        </w:rPr>
        <w:t>CONTRACT PRICE (PER MMBTU):</w:t>
      </w:r>
      <w:r>
        <w:rPr>
          <w:rFonts w:eastAsia="Arial Narrow" w:cs="Arial Narrow" w:ascii="Arial Narrow" w:hAnsi="Arial Narrow"/>
          <w:sz w:val="20"/>
          <w:szCs w:val="20"/>
        </w:rPr>
        <w:t xml:space="preserve">  The Contract Price shall be equal to the Midpoint price published on each calendar day during the Period of Delivery under the heading “Daily Price Survey” in the Citygates Chicago-LDC’s, Large e-us section of </w:t>
      </w:r>
      <w:r>
        <w:rPr>
          <w:rFonts w:eastAsia="Arial Narrow" w:cs="Arial Narrow" w:ascii="Arial Narrow" w:hAnsi="Arial Narrow"/>
          <w:sz w:val="20"/>
          <w:szCs w:val="20"/>
          <w:u w:val="single"/>
        </w:rPr>
        <w:t>Gas Daily</w:t>
      </w:r>
      <w:r>
        <w:rPr>
          <w:rFonts w:eastAsia="Arial Narrow" w:cs="Arial Narrow" w:ascii="Arial Narrow" w:hAnsi="Arial Narrow"/>
          <w:sz w:val="20"/>
          <w:szCs w:val="20"/>
        </w:rPr>
        <w:t>, minus $0.005 per MMBtu or if a calendar day is not a business day then the Contract Price for such calendar day will be the Daily Midpoint price published on the next succeeding business day.</w:t>
      </w:r>
    </w:p>
    <w:p>
      <w:pPr>
        <w:pStyle w:val="Normal"/>
        <w:jc w:val="both"/>
        <w:rPr/>
      </w:pPr>
      <w:r>
        <w:rPr>
          <w:rFonts w:eastAsia="Arial Narrow" w:cs="Arial Narrow" w:ascii="Arial Narrow" w:hAnsi="Arial Narrow"/>
          <w:b/>
          <w:bCs/>
          <w:sz w:val="20"/>
          <w:szCs w:val="20"/>
        </w:rPr>
        <w:t xml:space="preserve">OTHER TERMS: </w:t>
      </w:r>
      <w:r>
        <w:rPr>
          <w:rFonts w:eastAsia="Arial Narrow" w:cs="Arial Narrow" w:ascii="Arial Narrow" w:hAnsi="Arial Narrow"/>
          <w:sz w:val="20"/>
          <w:szCs w:val="20"/>
        </w:rPr>
        <w:t xml:space="preserve"> </w:t>
      </w:r>
      <w:r>
        <w:rPr>
          <w:rFonts w:eastAsia="Arial Narrow" w:cs="Arial Narrow" w:ascii="Arial Narrow" w:hAnsi="Arial Narrow"/>
          <w:color w:val="000000"/>
          <w:sz w:val="20"/>
          <w:szCs w:val="20"/>
        </w:rPr>
        <w:t>In this Agreement, "Customer's AOS" shall mean Customer's right to utilize Authorized Overrun Service on Alliance by virtue of that agreement between Customer and Alliance providing Customer with 51.1 MMcf per day of Alliance firm capacity, but does not include Customer's right to utilize Authorized Overrun Service that is announced as available to Customer after 9:00 a.m. Mountain Time on the Nomination Day; and</w:t>
      </w:r>
    </w:p>
    <w:p>
      <w:pPr>
        <w:pStyle w:val="Normal"/>
        <w:spacing w:lineRule="atLeast" w:line="240"/>
        <w:jc w:val="both"/>
        <w:rPr>
          <w:rFonts w:ascii="Arial Narrow" w:hAnsi="Arial Narrow" w:eastAsia="Arial Narrow" w:cs="Arial Narrow"/>
          <w:color w:val="000000"/>
          <w:sz w:val="20"/>
          <w:szCs w:val="20"/>
        </w:rPr>
      </w:pPr>
      <w:r>
        <w:rPr>
          <w:rFonts w:eastAsia="Arial Narrow" w:cs="Arial Narrow" w:ascii="Arial Narrow" w:hAnsi="Arial Narrow"/>
          <w:color w:val="000000"/>
          <w:sz w:val="20"/>
          <w:szCs w:val="20"/>
        </w:rPr>
      </w:r>
    </w:p>
    <w:p>
      <w:pPr>
        <w:pStyle w:val="Normal"/>
        <w:spacing w:lineRule="atLeast" w:line="240"/>
        <w:jc w:val="both"/>
        <w:rPr>
          <w:rFonts w:ascii="Arial Narrow" w:hAnsi="Arial Narrow" w:eastAsia="Arial Narrow" w:cs="Arial Narrow"/>
          <w:color w:val="000000"/>
          <w:sz w:val="20"/>
          <w:szCs w:val="20"/>
        </w:rPr>
      </w:pPr>
      <w:r>
        <w:rPr>
          <w:rFonts w:eastAsia="Arial Narrow" w:cs="Arial Narrow" w:ascii="Arial Narrow" w:hAnsi="Arial Narrow"/>
          <w:color w:val="000000"/>
          <w:sz w:val="20"/>
          <w:szCs w:val="20"/>
        </w:rPr>
        <w:t>"Gas Day" has the meaning given to that term in the U.S. tariff for Alliance pipeline.</w:t>
      </w:r>
    </w:p>
    <w:p>
      <w:pPr>
        <w:pStyle w:val="Normal"/>
        <w:spacing w:lineRule="atLeast" w:line="240"/>
        <w:jc w:val="both"/>
        <w:rPr>
          <w:rFonts w:ascii="Arial Narrow" w:hAnsi="Arial Narrow" w:eastAsia="Arial Narrow" w:cs="Arial Narrow"/>
          <w:color w:val="000000"/>
          <w:sz w:val="20"/>
          <w:szCs w:val="20"/>
        </w:rPr>
      </w:pPr>
      <w:r>
        <w:rPr>
          <w:rFonts w:eastAsia="Arial Narrow" w:cs="Arial Narrow" w:ascii="Arial Narrow" w:hAnsi="Arial Narrow"/>
          <w:color w:val="000000"/>
          <w:sz w:val="20"/>
          <w:szCs w:val="20"/>
        </w:rPr>
      </w:r>
    </w:p>
    <w:p>
      <w:pPr>
        <w:pStyle w:val="Normal"/>
        <w:spacing w:lineRule="atLeast" w:line="240"/>
        <w:jc w:val="both"/>
        <w:rPr>
          <w:rFonts w:ascii="Arial Narrow" w:hAnsi="Arial Narrow" w:eastAsia="Arial Narrow" w:cs="Arial Narrow"/>
          <w:color w:val="000000"/>
          <w:sz w:val="20"/>
          <w:szCs w:val="20"/>
        </w:rPr>
      </w:pPr>
      <w:r>
        <w:rPr>
          <w:rFonts w:eastAsia="Arial Narrow" w:cs="Arial Narrow" w:ascii="Arial Narrow" w:hAnsi="Arial Narrow"/>
          <w:color w:val="000000"/>
          <w:sz w:val="20"/>
          <w:szCs w:val="20"/>
        </w:rPr>
        <w:t>"Nomination Day" means the business day immediately preceding a particular Gas Day.</w:t>
      </w:r>
    </w:p>
    <w:p>
      <w:pPr>
        <w:pStyle w:val="Normal"/>
        <w:spacing w:lineRule="atLeast" w:line="240"/>
        <w:jc w:val="both"/>
        <w:rPr>
          <w:rFonts w:ascii="Arial Narrow" w:hAnsi="Arial Narrow" w:eastAsia="Arial Narrow" w:cs="Arial Narrow"/>
          <w:color w:val="000000"/>
          <w:sz w:val="20"/>
          <w:szCs w:val="20"/>
        </w:rPr>
      </w:pPr>
      <w:r>
        <w:rPr>
          <w:rFonts w:eastAsia="Arial Narrow" w:cs="Arial Narrow" w:ascii="Arial Narrow" w:hAnsi="Arial Narrow"/>
          <w:color w:val="000000"/>
          <w:sz w:val="20"/>
          <w:szCs w:val="20"/>
        </w:rPr>
      </w:r>
    </w:p>
    <w:p>
      <w:pPr>
        <w:pStyle w:val="Normal"/>
        <w:spacing w:lineRule="atLeast" w:line="240"/>
        <w:jc w:val="both"/>
        <w:rPr>
          <w:rFonts w:ascii="Arial Narrow" w:hAnsi="Arial Narrow" w:eastAsia="Arial Narrow" w:cs="Arial Narrow"/>
          <w:color w:val="000000"/>
          <w:sz w:val="20"/>
          <w:szCs w:val="20"/>
        </w:rPr>
      </w:pPr>
      <w:r>
        <w:rPr>
          <w:rFonts w:eastAsia="Arial Narrow" w:cs="Arial Narrow" w:ascii="Arial Narrow" w:hAnsi="Arial Narrow"/>
          <w:color w:val="000000"/>
          <w:sz w:val="20"/>
          <w:szCs w:val="20"/>
        </w:rPr>
        <w:t>On each Nomination Day, by 9:00 a.m. Mountain Time Customer will advise Company by telephone or voice mail whether Customer will deliver and sell gas hereunder on the next Gas Day and the amount to be delivered in MMBtus.  That amount shall be the DCQ for the next Gas Day, in all other circumstances the DCQ will be zero.  The decision to sell and deliver gas hereunder shall be within Customer's sole discretion, however, Customer agrees that it shall not utilize Customer's AOS to deliver gas to a buyer in Chicago except to Company pursuant to this Agreement, provided that Customer may utilize Customer's AOS for operational purposes such as and including balancing its Alliance account.</w:t>
      </w:r>
    </w:p>
    <w:p>
      <w:pPr>
        <w:pStyle w:val="Normal"/>
        <w:spacing w:lineRule="atLeast" w:line="240"/>
        <w:jc w:val="both"/>
        <w:rPr>
          <w:rFonts w:ascii="Arial Narrow" w:hAnsi="Arial Narrow" w:eastAsia="Arial Narrow" w:cs="Arial Narrow"/>
          <w:color w:val="000000"/>
          <w:sz w:val="20"/>
          <w:szCs w:val="20"/>
        </w:rPr>
      </w:pPr>
      <w:r>
        <w:rPr>
          <w:rFonts w:eastAsia="Arial Narrow" w:cs="Arial Narrow" w:ascii="Arial Narrow" w:hAnsi="Arial Narrow"/>
          <w:color w:val="000000"/>
          <w:sz w:val="20"/>
          <w:szCs w:val="20"/>
        </w:rPr>
      </w:r>
    </w:p>
    <w:p>
      <w:pPr>
        <w:pStyle w:val="Normal"/>
        <w:spacing w:lineRule="atLeast" w:line="240"/>
        <w:jc w:val="both"/>
        <w:rPr>
          <w:rFonts w:ascii="Arial Narrow" w:hAnsi="Arial Narrow" w:eastAsia="Arial Narrow" w:cs="Arial Narrow"/>
          <w:color w:val="000000"/>
          <w:sz w:val="20"/>
          <w:szCs w:val="20"/>
        </w:rPr>
      </w:pPr>
      <w:r>
        <w:rPr>
          <w:rFonts w:eastAsia="Arial Narrow" w:cs="Arial Narrow" w:ascii="Arial Narrow" w:hAnsi="Arial Narrow"/>
          <w:color w:val="000000"/>
          <w:sz w:val="20"/>
          <w:szCs w:val="20"/>
        </w:rPr>
        <w:t>Once DCQ for the next Gas Day has been determined as provided in the preceding paragraph such gas shall be considered to be Tier 3 Firm Gas and the Force Majeure provision of the Enfolio Spot General Terms and Conditions shall not apply to such deliveries.</w:t>
      </w:r>
    </w:p>
    <w:p>
      <w:pPr>
        <w:pStyle w:val="Normal"/>
        <w:spacing w:lineRule="atLeast" w:line="240"/>
        <w:jc w:val="both"/>
        <w:rPr>
          <w:rFonts w:ascii="Arial Narrow" w:hAnsi="Arial Narrow" w:eastAsia="Arial Narrow" w:cs="Arial Narrow"/>
          <w:color w:val="000000"/>
          <w:sz w:val="20"/>
          <w:szCs w:val="20"/>
        </w:rPr>
      </w:pPr>
      <w:r>
        <w:rPr>
          <w:rFonts w:eastAsia="Arial Narrow" w:cs="Arial Narrow" w:ascii="Arial Narrow" w:hAnsi="Arial Narrow"/>
          <w:color w:val="000000"/>
          <w:sz w:val="20"/>
          <w:szCs w:val="20"/>
        </w:rPr>
      </w:r>
    </w:p>
    <w:p>
      <w:pPr>
        <w:pStyle w:val="Normal"/>
        <w:spacing w:lineRule="atLeast" w:line="240"/>
        <w:jc w:val="both"/>
        <w:rPr>
          <w:rFonts w:ascii="Arial Narrow" w:hAnsi="Arial Narrow" w:eastAsia="Arial Narrow" w:cs="Arial Narrow"/>
          <w:sz w:val="20"/>
          <w:szCs w:val="20"/>
        </w:rPr>
      </w:pPr>
      <w:r>
        <w:rPr>
          <w:rFonts w:eastAsia="Arial Narrow" w:cs="Arial Narrow" w:ascii="Arial Narrow" w:hAnsi="Arial Narrow"/>
          <w:color w:val="000000"/>
          <w:sz w:val="20"/>
          <w:szCs w:val="20"/>
        </w:rPr>
        <w:t>By 9:45 a.m. Mountain Time on each Nomination Day that the DCQ for the next Gas Day is not zero, Company shall advise Customer in writing or via e-mail of the contract numbers, associated gas volumes, and alternate downstream pipelines, if any, where it wishes to have the DCQ allocated on the next Gas Day.</w:t>
      </w:r>
    </w:p>
    <w:p>
      <w:pPr>
        <w:pStyle w:val="Normal"/>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Normal"/>
        <w:jc w:val="both"/>
        <w:rPr>
          <w:rFonts w:ascii="Arial Narrow" w:hAnsi="Arial Narrow" w:eastAsia="Arial Narrow" w:cs="Arial Narrow"/>
          <w:sz w:val="20"/>
          <w:szCs w:val="20"/>
        </w:rPr>
      </w:pPr>
      <w:r>
        <w:rPr>
          <w:rFonts w:eastAsia="Arial Narrow" w:cs="Arial Narrow" w:ascii="Arial Narrow" w:hAnsi="Arial Narrow"/>
          <w:sz w:val="20"/>
          <w:szCs w:val="20"/>
        </w:rPr>
        <w:t>This Spot Confirmation is being provided pursuant to and in accordance with the Enfolio Spot General Terms &amp; Conditions and constitutes part of and is subject to all of the provisions thereof.  Company does hereby adopt this letterhead, including the address, as its signature in respect of the identification of Company and the authentication by Company of this Spot Confirmation.  Any objection of Customer to this Spot Confirmation must be made by written notice to Company within 10 days of receipt of same.</w:t>
      </w:r>
    </w:p>
    <w:p>
      <w:pPr>
        <w:pStyle w:val="Normal"/>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Normal"/>
        <w:jc w:val="both"/>
        <w:rPr>
          <w:rFonts w:ascii="Arial Narrow" w:hAnsi="Arial Narrow" w:eastAsia="Arial Narrow" w:cs="Arial Narrow"/>
          <w:sz w:val="16"/>
          <w:szCs w:val="16"/>
        </w:rPr>
      </w:pPr>
      <w:r>
        <w:rPr>
          <w:rFonts w:eastAsia="Arial Narrow" w:cs="Arial Narrow" w:ascii="Arial Narrow" w:hAnsi="Arial Narrow"/>
          <w:sz w:val="20"/>
          <w:szCs w:val="20"/>
        </w:rPr>
        <w:t>Neither Party shall disclose the terms of this Transaction No. 1a to a third party (other than the Party's and its affiliates' employees, lenders, counsel</w:t>
      </w:r>
      <w:r>
        <w:rPr>
          <w:rFonts w:eastAsia="Arial Narrow" w:cs="Arial Narrow" w:ascii="Arial Narrow" w:hAnsi="Arial Narrow"/>
          <w:sz w:val="18"/>
          <w:szCs w:val="18"/>
        </w:rPr>
        <w:t xml:space="preserve">, </w:t>
      </w:r>
      <w:r>
        <w:rPr>
          <w:rFonts w:eastAsia="Arial Narrow" w:cs="Arial Narrow" w:ascii="Arial Narrow" w:hAnsi="Arial Narrow"/>
          <w:sz w:val="20"/>
          <w:szCs w:val="20"/>
        </w:rPr>
        <w:t>accountants or prospective purchasers of any rights under any Transactions</w:t>
      </w:r>
      <w:r>
        <w:rPr>
          <w:rFonts w:eastAsia="Arial Narrow" w:cs="Arial Narrow" w:ascii="Arial Narrow" w:hAnsi="Arial Narrow"/>
          <w:sz w:val="18"/>
          <w:szCs w:val="18"/>
        </w:rPr>
        <w:t xml:space="preserve"> </w:t>
      </w:r>
      <w:r>
        <w:rPr>
          <w:rFonts w:eastAsia="Arial Narrow" w:cs="Arial Narrow" w:ascii="Arial Narrow" w:hAnsi="Arial Narrow"/>
          <w:sz w:val="20"/>
          <w:szCs w:val="20"/>
        </w:rPr>
        <w:t xml:space="preserve">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w:t>
      </w:r>
      <w:r>
        <w:rPr>
          <w:rFonts w:eastAsia="Arial Narrow" w:cs="Arial Narrow" w:ascii="Arial Narrow" w:hAnsi="Arial Narrow"/>
          <w:sz w:val="18"/>
          <w:szCs w:val="18"/>
        </w:rPr>
        <w:t>Enfolio</w:t>
      </w:r>
      <w:r>
        <w:rPr>
          <w:rFonts w:eastAsia="Arial Narrow" w:cs="Arial Narrow" w:ascii="Arial Narrow" w:hAnsi="Arial Narrow"/>
          <w:position w:val="6"/>
          <w:sz w:val="18"/>
          <w:szCs w:val="18"/>
        </w:rPr>
        <w:t>®</w:t>
      </w:r>
      <w:r>
        <w:rPr>
          <w:rFonts w:eastAsia="Arial Narrow" w:cs="Arial Narrow" w:ascii="Arial Narrow" w:hAnsi="Arial Narrow"/>
          <w:sz w:val="18"/>
          <w:szCs w:val="18"/>
        </w:rPr>
        <w:t xml:space="preserve"> "Spot" General Terms &amp; Conditions</w:t>
      </w:r>
      <w:r>
        <w:rPr>
          <w:rFonts w:eastAsia="Arial Narrow" w:cs="Arial Narrow" w:ascii="Arial Narrow" w:hAnsi="Arial Narrow"/>
          <w:sz w:val="20"/>
          <w:szCs w:val="20"/>
        </w:rPr>
        <w:t xml:space="preserve"> other than the terms of this Transaction No. 1a are not subject to this confidentiality obligation.  The Parties shall be entitled to all remedies available at law or in equity to enforce, or seek relief in connection with, this confidentiality obligation; provided, all monetary damages shall be limited to actual direct damages.</w:t>
      </w:r>
      <w:r>
        <w:br w:type="page"/>
      </w:r>
    </w:p>
    <w:p>
      <w:pPr>
        <w:pStyle w:val="Normal"/>
        <w:jc w:val="center"/>
        <w:rPr/>
      </w:pPr>
      <w:r>
        <w:rPr>
          <w:rFonts w:eastAsia="Arial Narrow" w:cs="Arial Narrow" w:ascii="Arial Narrow" w:hAnsi="Arial Narrow"/>
          <w:b/>
          <w:bCs/>
          <w:sz w:val="18"/>
          <w:szCs w:val="18"/>
        </w:rPr>
        <w:t>ENFOLIO</w:t>
      </w:r>
      <w:r>
        <w:rPr>
          <w:rFonts w:eastAsia="Arial Narrow" w:cs="Arial Narrow" w:ascii="Arial Narrow" w:hAnsi="Arial Narrow"/>
          <w:b/>
          <w:bCs/>
          <w:position w:val="6"/>
          <w:sz w:val="18"/>
          <w:szCs w:val="18"/>
        </w:rPr>
        <w:t>®</w:t>
      </w:r>
      <w:r>
        <w:rPr>
          <w:rFonts w:eastAsia="Arial Narrow" w:cs="Arial Narrow" w:ascii="Arial Narrow" w:hAnsi="Arial Narrow"/>
          <w:b/>
          <w:bCs/>
          <w:sz w:val="18"/>
          <w:szCs w:val="18"/>
        </w:rPr>
        <w:t xml:space="preserve"> "SPOT" GENERAL TERMS &amp; CONDITIONS  </w:t>
      </w:r>
    </w:p>
    <w:p>
      <w:pPr>
        <w:pStyle w:val="Normal"/>
        <w:jc w:val="both"/>
        <w:rPr/>
      </w:pPr>
      <w:r>
        <w:rPr>
          <w:rFonts w:eastAsia="Arial Narrow" w:cs="Arial Narrow" w:ascii="Arial Narrow" w:hAnsi="Arial Narrow"/>
          <w:b/>
          <w:bCs/>
          <w:sz w:val="18"/>
          <w:szCs w:val="18"/>
          <w:u w:val="single"/>
        </w:rPr>
        <w:t>1. Transactions</w:t>
      </w:r>
      <w:r>
        <w:rPr>
          <w:rFonts w:eastAsia="Arial Narrow" w:cs="Arial Narrow" w:ascii="Arial Narrow" w:hAnsi="Arial Narrow"/>
          <w:sz w:val="18"/>
          <w:szCs w:val="18"/>
        </w:rPr>
        <w:t>. The parties shall engage in transactions in accordance with these Enfolio terms and conditions (this "</w:t>
      </w:r>
      <w:r>
        <w:rPr>
          <w:rFonts w:eastAsia="Arial Narrow" w:cs="Arial Narrow" w:ascii="Arial Narrow" w:hAnsi="Arial Narrow"/>
          <w:sz w:val="18"/>
          <w:szCs w:val="18"/>
          <w:u w:val="single"/>
        </w:rPr>
        <w:t>Spot GTC</w:t>
      </w:r>
      <w:r>
        <w:rPr>
          <w:rFonts w:eastAsia="Arial Narrow" w:cs="Arial Narrow" w:ascii="Arial Narrow" w:hAnsi="Arial Narrow"/>
          <w:sz w:val="18"/>
          <w:szCs w:val="18"/>
        </w:rPr>
        <w:t>") and Enfolio confirmations of transactions ("</w:t>
      </w:r>
      <w:r>
        <w:rPr>
          <w:rFonts w:eastAsia="Arial Narrow" w:cs="Arial Narrow" w:ascii="Arial Narrow" w:hAnsi="Arial Narrow"/>
          <w:sz w:val="18"/>
          <w:szCs w:val="18"/>
          <w:u w:val="single"/>
        </w:rPr>
        <w:t>Spot Confirmations</w:t>
      </w:r>
      <w:r>
        <w:rPr>
          <w:rFonts w:eastAsia="Arial Narrow" w:cs="Arial Narrow" w:ascii="Arial Narrow" w:hAnsi="Arial Narrow"/>
          <w:sz w:val="18"/>
          <w:szCs w:val="18"/>
        </w:rPr>
        <w:t>") referencing this Spot GTC, which may be issued at the discretion of Company therein identified.  Transactions may be formed in a recorded telephone conversation between the parties whereby an offer and acceptance shall constitute a valid and enforceable agreement of the parties subject to this Spot GTC and all transactions between the parties shall be considered a single master agreement governed by this Spot GTC.  Any transaction formed pursuant to the foregoing shall be considered to be a "writing" or "in writing" and to have been "signed" and any transaction tape shall be considered to constitute an "original" document evidencing a transaction.  The parties agree not to contest or assert a defense to the validity or enforceability of telephonic transactions entered into in accordance with this Spot GTC under laws relating to (i) whether certain agreements are to be in writing or signed by the party to be thereby bound or (ii) the authority of any employee of the party.  This Spot GTC, each transaction and the rights and duties of the parties arising herefrom shall be governed by the laws of Texas.</w:t>
      </w:r>
      <w:r>
        <w:rPr>
          <w:rFonts w:eastAsia="Arial Narrow" w:cs="Arial Narrow" w:ascii="Arial Narrow" w:hAnsi="Arial Narrow"/>
          <w:caps/>
          <w:sz w:val="18"/>
          <w:szCs w:val="18"/>
        </w:rPr>
        <w:t xml:space="preserve">  </w:t>
      </w:r>
      <w:r>
        <w:rPr>
          <w:rFonts w:eastAsia="Arial Narrow" w:cs="Arial Narrow" w:ascii="Arial Narrow" w:hAnsi="Arial Narrow"/>
          <w:b/>
          <w:bCs/>
          <w:sz w:val="18"/>
          <w:szCs w:val="18"/>
        </w:rPr>
        <w:t>Upon issuance of a Spot Confirmation, if no objection to the Spot Confirmation has been received in accordance with applicable law, the Spot Confirmation shall be conclusive evidence of the transaction made the subject matter thereof and the final expression of all of its terms.</w:t>
      </w:r>
      <w:r>
        <w:rPr>
          <w:rFonts w:eastAsia="Arial Narrow" w:cs="Arial Narrow" w:ascii="Arial Narrow" w:hAnsi="Arial Narrow"/>
          <w:sz w:val="18"/>
          <w:szCs w:val="18"/>
        </w:rPr>
        <w:t xml:space="preserve">  The </w:t>
      </w:r>
      <w:r>
        <w:rPr>
          <w:rFonts w:eastAsia="Arial Narrow" w:cs="Arial Narrow" w:ascii="Arial Narrow" w:hAnsi="Arial Narrow"/>
          <w:b/>
          <w:bCs/>
          <w:sz w:val="18"/>
          <w:szCs w:val="18"/>
        </w:rPr>
        <w:t>DCQ</w:t>
      </w:r>
      <w:r>
        <w:rPr>
          <w:rFonts w:eastAsia="Arial Narrow" w:cs="Arial Narrow" w:ascii="Arial Narrow" w:hAnsi="Arial Narrow"/>
          <w:sz w:val="18"/>
          <w:szCs w:val="18"/>
        </w:rPr>
        <w:t xml:space="preserve"> shall be scheduled by </w:t>
      </w:r>
      <w:r>
        <w:rPr>
          <w:rFonts w:eastAsia="Arial Narrow" w:cs="Arial Narrow" w:ascii="Arial Narrow" w:hAnsi="Arial Narrow"/>
          <w:b/>
          <w:bCs/>
          <w:sz w:val="18"/>
          <w:szCs w:val="18"/>
        </w:rPr>
        <w:t xml:space="preserve">Seller </w:t>
      </w:r>
      <w:r>
        <w:rPr>
          <w:rFonts w:eastAsia="Arial Narrow" w:cs="Arial Narrow" w:ascii="Arial Narrow" w:hAnsi="Arial Narrow"/>
          <w:sz w:val="18"/>
          <w:szCs w:val="18"/>
        </w:rPr>
        <w:t xml:space="preserve">and </w:t>
      </w:r>
      <w:r>
        <w:rPr>
          <w:rFonts w:eastAsia="Arial Narrow" w:cs="Arial Narrow" w:ascii="Arial Narrow" w:hAnsi="Arial Narrow"/>
          <w:b/>
          <w:bCs/>
          <w:sz w:val="18"/>
          <w:szCs w:val="18"/>
        </w:rPr>
        <w:t xml:space="preserve">Buyer </w:t>
      </w:r>
      <w:r>
        <w:rPr>
          <w:rFonts w:eastAsia="Arial Narrow" w:cs="Arial Narrow" w:ascii="Arial Narrow" w:hAnsi="Arial Narrow"/>
          <w:sz w:val="18"/>
          <w:szCs w:val="18"/>
        </w:rPr>
        <w:t xml:space="preserve">at the </w:t>
      </w:r>
      <w:r>
        <w:rPr>
          <w:rFonts w:eastAsia="Arial Narrow" w:cs="Arial Narrow" w:ascii="Arial Narrow" w:hAnsi="Arial Narrow"/>
          <w:b/>
          <w:bCs/>
          <w:sz w:val="18"/>
          <w:szCs w:val="18"/>
        </w:rPr>
        <w:t>Delivery Point(s)</w:t>
      </w:r>
      <w:r>
        <w:rPr>
          <w:rFonts w:eastAsia="Arial Narrow" w:cs="Arial Narrow" w:ascii="Arial Narrow" w:hAnsi="Arial Narrow"/>
          <w:sz w:val="18"/>
          <w:szCs w:val="18"/>
        </w:rPr>
        <w:t xml:space="preserve"> during the </w:t>
      </w:r>
      <w:r>
        <w:rPr>
          <w:rFonts w:eastAsia="Arial Narrow" w:cs="Arial Narrow" w:ascii="Arial Narrow" w:hAnsi="Arial Narrow"/>
          <w:b/>
          <w:bCs/>
          <w:sz w:val="18"/>
          <w:szCs w:val="18"/>
        </w:rPr>
        <w:t>Period of Delivery</w:t>
      </w:r>
      <w:r>
        <w:rPr>
          <w:rFonts w:eastAsia="Arial Narrow" w:cs="Arial Narrow" w:ascii="Arial Narrow" w:hAnsi="Arial Narrow"/>
          <w:sz w:val="18"/>
          <w:szCs w:val="18"/>
        </w:rPr>
        <w:t xml:space="preserve"> and at the </w:t>
      </w:r>
      <w:r>
        <w:rPr>
          <w:rFonts w:eastAsia="Arial Narrow" w:cs="Arial Narrow" w:ascii="Arial Narrow" w:hAnsi="Arial Narrow"/>
          <w:b/>
          <w:bCs/>
          <w:sz w:val="18"/>
          <w:szCs w:val="18"/>
        </w:rPr>
        <w:t xml:space="preserve">Contract Price </w:t>
      </w:r>
      <w:r>
        <w:rPr>
          <w:rFonts w:eastAsia="Arial Narrow" w:cs="Arial Narrow" w:ascii="Arial Narrow" w:hAnsi="Arial Narrow"/>
          <w:sz w:val="18"/>
          <w:szCs w:val="18"/>
        </w:rPr>
        <w:t>as provided in each transaction.  Each transaction shall indicate the "</w:t>
      </w:r>
      <w:r>
        <w:rPr>
          <w:rFonts w:eastAsia="Arial Narrow" w:cs="Arial Narrow" w:ascii="Arial Narrow" w:hAnsi="Arial Narrow"/>
          <w:sz w:val="18"/>
          <w:szCs w:val="18"/>
          <w:u w:val="single"/>
        </w:rPr>
        <w:t>Tier</w:t>
      </w:r>
      <w:r>
        <w:rPr>
          <w:rFonts w:eastAsia="Arial Narrow" w:cs="Arial Narrow" w:ascii="Arial Narrow" w:hAnsi="Arial Narrow"/>
          <w:sz w:val="18"/>
          <w:szCs w:val="18"/>
        </w:rPr>
        <w:t>" of gas applicable to the DCQ during the Period of Delivery:</w:t>
      </w:r>
    </w:p>
    <w:p>
      <w:pPr>
        <w:pStyle w:val="Normal"/>
        <w:ind w:end="-36"/>
        <w:jc w:val="both"/>
        <w:rPr/>
      </w:pPr>
      <w:r>
        <w:rPr>
          <w:rFonts w:eastAsia="Arial Narrow" w:cs="Arial Narrow" w:ascii="Arial Narrow" w:hAnsi="Arial Narrow"/>
          <w:sz w:val="18"/>
          <w:szCs w:val="18"/>
        </w:rPr>
        <w:t>"</w:t>
      </w:r>
      <w:r>
        <w:rPr>
          <w:rFonts w:eastAsia="Arial Narrow" w:cs="Arial Narrow" w:ascii="Arial Narrow" w:hAnsi="Arial Narrow"/>
          <w:b/>
          <w:bCs/>
          <w:sz w:val="18"/>
          <w:szCs w:val="18"/>
          <w:u w:val="single"/>
        </w:rPr>
        <w:t>Interruptible Gas</w:t>
      </w:r>
      <w:r>
        <w:rPr>
          <w:rFonts w:eastAsia="Arial Narrow" w:cs="Arial Narrow" w:ascii="Arial Narrow" w:hAnsi="Arial Narrow"/>
          <w:sz w:val="18"/>
          <w:szCs w:val="18"/>
        </w:rPr>
        <w:t>"--subject hereto, both parties may without liability interrupt, in whole or in part, scheduling the DCQ in accordance with the provisions hereof for any reason; or "</w:t>
      </w:r>
      <w:r>
        <w:rPr>
          <w:rFonts w:eastAsia="Arial Narrow" w:cs="Arial Narrow" w:ascii="Arial Narrow" w:hAnsi="Arial Narrow"/>
          <w:b/>
          <w:bCs/>
          <w:sz w:val="18"/>
          <w:szCs w:val="18"/>
          <w:u w:val="single"/>
        </w:rPr>
        <w:t>Firm Gas</w:t>
      </w:r>
      <w:r>
        <w:rPr>
          <w:rFonts w:eastAsia="Arial Narrow" w:cs="Arial Narrow" w:ascii="Arial Narrow" w:hAnsi="Arial Narrow"/>
          <w:sz w:val="18"/>
          <w:szCs w:val="18"/>
        </w:rPr>
        <w:t xml:space="preserve">"--subject hereto, both parties are firmly obligated to schedule the DCQ for a period less than or equal to one month. </w:t>
      </w:r>
    </w:p>
    <w:p>
      <w:pPr>
        <w:pStyle w:val="Normal"/>
        <w:jc w:val="both"/>
        <w:rPr/>
      </w:pPr>
      <w:r>
        <w:rPr>
          <w:rFonts w:eastAsia="Arial Narrow" w:cs="Arial Narrow" w:ascii="Arial Narrow" w:hAnsi="Arial Narrow"/>
          <w:b/>
          <w:bCs/>
          <w:sz w:val="18"/>
          <w:szCs w:val="18"/>
          <w:u w:val="single"/>
        </w:rPr>
        <w:t>2. Quantity Obligations</w:t>
      </w:r>
      <w:r>
        <w:rPr>
          <w:rFonts w:eastAsia="Arial Narrow" w:cs="Arial Narrow" w:ascii="Arial Narrow" w:hAnsi="Arial Narrow"/>
          <w:sz w:val="18"/>
          <w:szCs w:val="18"/>
        </w:rPr>
        <w:t>.</w:t>
      </w:r>
      <w:r>
        <w:rPr>
          <w:rFonts w:eastAsia="Arial Narrow" w:cs="Arial Narrow" w:ascii="Arial Narrow" w:hAnsi="Arial Narrow"/>
          <w:b/>
          <w:bCs/>
          <w:sz w:val="18"/>
          <w:szCs w:val="18"/>
        </w:rPr>
        <w:t xml:space="preserve">  </w:t>
      </w:r>
      <w:r>
        <w:rPr>
          <w:rFonts w:eastAsia="Arial Narrow" w:cs="Arial Narrow" w:ascii="Arial Narrow" w:hAnsi="Arial Narrow"/>
          <w:b/>
          <w:bCs/>
          <w:sz w:val="18"/>
          <w:szCs w:val="18"/>
          <w:u w:val="single"/>
        </w:rPr>
        <w:t>2.1. Tier 1 Interruptible Gas</w:t>
      </w:r>
      <w:r>
        <w:rPr>
          <w:rFonts w:eastAsia="Arial Narrow" w:cs="Arial Narrow" w:ascii="Arial Narrow" w:hAnsi="Arial Narrow"/>
          <w:sz w:val="18"/>
          <w:szCs w:val="18"/>
        </w:rPr>
        <w:t xml:space="preserve"> Seller and Buyer shall schedule at the Delivery Point(s) each day on an interruptible basis a quantity of gas equal to the DCQ.  Either party may, at its sole discretion and without liability, interrupt, in whole or in part, the scheduling of gas at any time for any reason upon prior notice to the other party specifying the amount and duration of the interruption sufficient to allow the notified party to make changes to its transporter nominations in accordance with its transporter's procedures.  No notice of interruption may be retroactive to a prior time.  </w:t>
      </w:r>
    </w:p>
    <w:p>
      <w:pPr>
        <w:pStyle w:val="Normal"/>
        <w:jc w:val="both"/>
        <w:rPr/>
      </w:pPr>
      <w:r>
        <w:rPr>
          <w:rFonts w:eastAsia="Arial Narrow" w:cs="Arial Narrow" w:ascii="Arial Narrow" w:hAnsi="Arial Narrow"/>
          <w:b/>
          <w:bCs/>
          <w:sz w:val="18"/>
          <w:szCs w:val="18"/>
          <w:u w:val="single"/>
        </w:rPr>
        <w:t>2.2. Interruption Without Notice</w:t>
      </w:r>
      <w:r>
        <w:rPr>
          <w:rFonts w:eastAsia="Arial Narrow" w:cs="Arial Narrow" w:ascii="Arial Narrow" w:hAnsi="Arial Narrow"/>
          <w:b/>
          <w:bCs/>
          <w:sz w:val="18"/>
          <w:szCs w:val="18"/>
        </w:rPr>
        <w:t xml:space="preserve"> </w:t>
      </w:r>
      <w:r>
        <w:rPr>
          <w:rFonts w:eastAsia="Arial Narrow" w:cs="Arial Narrow" w:ascii="Arial Narrow" w:hAnsi="Arial Narrow"/>
          <w:sz w:val="18"/>
          <w:szCs w:val="18"/>
        </w:rPr>
        <w:t xml:space="preserve">Should an interruption occur without the required notice, the interrupting party shall be liable for and pay all associated penalties and cashout costs and losses charged by either transporter.  </w:t>
      </w:r>
    </w:p>
    <w:p>
      <w:pPr>
        <w:pStyle w:val="Normal"/>
        <w:jc w:val="both"/>
        <w:rPr>
          <w:rFonts w:ascii="Arial Narrow" w:hAnsi="Arial Narrow" w:eastAsia="Arial Narrow" w:cs="Arial Narrow"/>
          <w:sz w:val="18"/>
          <w:szCs w:val="18"/>
        </w:rPr>
      </w:pPr>
      <w:r>
        <w:rPr>
          <w:rFonts w:eastAsia="Arial Narrow" w:cs="Arial Narrow" w:ascii="Arial Narrow" w:hAnsi="Arial Narrow"/>
          <w:b/>
          <w:bCs/>
          <w:sz w:val="18"/>
          <w:szCs w:val="18"/>
          <w:u w:val="single"/>
        </w:rPr>
        <w:t>2.3. Tier 3 Firm Gas</w:t>
      </w:r>
      <w:r>
        <w:rPr>
          <w:rFonts w:eastAsia="Arial Narrow" w:cs="Arial Narrow" w:ascii="Arial Narrow" w:hAnsi="Arial Narrow"/>
          <w:sz w:val="18"/>
          <w:szCs w:val="18"/>
        </w:rPr>
        <w:t xml:space="preserve"> Each of Seller and Buyer shall schedule at the Delivery Point(s) each day on a firm basis a quantity of gas equal to the DCQ.  If on any day Seller fails to schedule the DCQ, then such occurrence shall constitute a "</w:t>
      </w:r>
      <w:r>
        <w:rPr>
          <w:rFonts w:eastAsia="Arial Narrow" w:cs="Arial Narrow" w:ascii="Arial Narrow" w:hAnsi="Arial Narrow"/>
          <w:sz w:val="18"/>
          <w:szCs w:val="18"/>
          <w:u w:val="single"/>
        </w:rPr>
        <w:t>Seller's Deficiency Default</w:t>
      </w:r>
      <w:r>
        <w:rPr>
          <w:rFonts w:eastAsia="Arial Narrow" w:cs="Arial Narrow" w:ascii="Arial Narrow" w:hAnsi="Arial Narrow"/>
          <w:sz w:val="18"/>
          <w:szCs w:val="18"/>
        </w:rPr>
        <w:t>" and "</w:t>
      </w:r>
      <w:r>
        <w:rPr>
          <w:rFonts w:eastAsia="Arial Narrow" w:cs="Arial Narrow" w:ascii="Arial Narrow" w:hAnsi="Arial Narrow"/>
          <w:sz w:val="18"/>
          <w:szCs w:val="18"/>
          <w:u w:val="single"/>
        </w:rPr>
        <w:t>Seller's Deficiency Quantity</w:t>
      </w:r>
      <w:r>
        <w:rPr>
          <w:rFonts w:eastAsia="Arial Narrow" w:cs="Arial Narrow" w:ascii="Arial Narrow" w:hAnsi="Arial Narrow"/>
          <w:sz w:val="18"/>
          <w:szCs w:val="18"/>
        </w:rPr>
        <w:t>" shall be the numerical difference between the DCQ and the quantity of gas scheduled for such day.  In the event of a Seller's Deficiency Default, Seller shall pay Buyer an amount equal to the product of the Seller's Deficiency Quantity multiplied by the Replacement Price Differential.  If on any day Buyer fails to schedule the DCQ, then such occurrence shall constitute a "</w:t>
      </w:r>
      <w:r>
        <w:rPr>
          <w:rFonts w:eastAsia="Arial Narrow" w:cs="Arial Narrow" w:ascii="Arial Narrow" w:hAnsi="Arial Narrow"/>
          <w:sz w:val="18"/>
          <w:szCs w:val="18"/>
          <w:u w:val="single"/>
        </w:rPr>
        <w:t>Buyer's Deficiency Default</w:t>
      </w:r>
      <w:r>
        <w:rPr>
          <w:rFonts w:eastAsia="Arial Narrow" w:cs="Arial Narrow" w:ascii="Arial Narrow" w:hAnsi="Arial Narrow"/>
          <w:sz w:val="18"/>
          <w:szCs w:val="18"/>
        </w:rPr>
        <w:t>" and "</w:t>
      </w:r>
      <w:r>
        <w:rPr>
          <w:rFonts w:eastAsia="Arial Narrow" w:cs="Arial Narrow" w:ascii="Arial Narrow" w:hAnsi="Arial Narrow"/>
          <w:sz w:val="18"/>
          <w:szCs w:val="18"/>
          <w:u w:val="single"/>
        </w:rPr>
        <w:t>Buyer's Deficiency Quantity</w:t>
      </w:r>
      <w:r>
        <w:rPr>
          <w:rFonts w:eastAsia="Arial Narrow" w:cs="Arial Narrow" w:ascii="Arial Narrow" w:hAnsi="Arial Narrow"/>
          <w:sz w:val="18"/>
          <w:szCs w:val="18"/>
        </w:rPr>
        <w:t>" shall be the numerical difference between the DCQ and the quantity of gas scheduled for such day.  In the event of a Buyer's Deficiency Default, Buyer shall pay Seller an amount equal to the product of Buyer's Deficiency Quantity multiplied by the Replacement Price Differential.  "</w:t>
      </w:r>
      <w:r>
        <w:rPr>
          <w:rFonts w:eastAsia="Arial Narrow" w:cs="Arial Narrow" w:ascii="Arial Narrow" w:hAnsi="Arial Narrow"/>
          <w:sz w:val="18"/>
          <w:szCs w:val="18"/>
          <w:u w:val="single"/>
        </w:rPr>
        <w:t>Replacement Price Differential</w:t>
      </w:r>
      <w:r>
        <w:rPr>
          <w:rFonts w:eastAsia="Arial Narrow" w:cs="Arial Narrow" w:ascii="Arial Narrow" w:hAnsi="Arial Narrow"/>
          <w:sz w:val="18"/>
          <w:szCs w:val="18"/>
        </w:rPr>
        <w:t xml:space="preserve">" means (i) in the event of a Seller's Deficiency Default, the positive difference, if any, obtained by subtracting the Contract Price </w:t>
      </w:r>
      <w:r>
        <w:rPr>
          <w:rFonts w:eastAsia="Arial Narrow" w:cs="Arial Narrow" w:ascii="Arial Narrow" w:hAnsi="Arial Narrow"/>
          <w:sz w:val="18"/>
          <w:szCs w:val="18"/>
          <w:u w:val="single"/>
        </w:rPr>
        <w:t>from</w:t>
      </w:r>
      <w:r>
        <w:rPr>
          <w:rFonts w:eastAsia="Arial Narrow" w:cs="Arial Narrow" w:ascii="Arial Narrow" w:hAnsi="Arial Narrow"/>
          <w:sz w:val="18"/>
          <w:szCs w:val="18"/>
        </w:rPr>
        <w:t xml:space="preserve"> the Spot Price for the day in which the default occurred and (ii) in the event of a Buyer's Deficiency Default, the positive difference, if any, obtained by subtracting the Spot Price for the day in which the default occurred </w:t>
      </w:r>
      <w:r>
        <w:rPr>
          <w:rFonts w:eastAsia="Arial Narrow" w:cs="Arial Narrow" w:ascii="Arial Narrow" w:hAnsi="Arial Narrow"/>
          <w:sz w:val="18"/>
          <w:szCs w:val="18"/>
          <w:u w:val="single"/>
        </w:rPr>
        <w:t>from</w:t>
      </w:r>
      <w:r>
        <w:rPr>
          <w:rFonts w:eastAsia="Arial Narrow" w:cs="Arial Narrow" w:ascii="Arial Narrow" w:hAnsi="Arial Narrow"/>
          <w:sz w:val="18"/>
          <w:szCs w:val="18"/>
        </w:rPr>
        <w:t xml:space="preserve"> the Contract Price. </w:t>
      </w:r>
      <w:r>
        <w:rPr>
          <w:rFonts w:eastAsia="Arial Narrow" w:cs="Arial Narrow" w:ascii="Arial Narrow" w:hAnsi="Arial Narrow"/>
          <w:color w:val="000000"/>
          <w:sz w:val="18"/>
          <w:szCs w:val="18"/>
        </w:rPr>
        <w:t>"</w:t>
      </w:r>
      <w:r>
        <w:rPr>
          <w:rFonts w:eastAsia="Arial Narrow" w:cs="Arial Narrow" w:ascii="Arial Narrow" w:hAnsi="Arial Narrow"/>
          <w:color w:val="000000"/>
          <w:sz w:val="18"/>
          <w:szCs w:val="18"/>
          <w:u w:val="single"/>
        </w:rPr>
        <w:t>Spot Price</w:t>
      </w:r>
      <w:r>
        <w:rPr>
          <w:rFonts w:eastAsia="Arial Narrow" w:cs="Arial Narrow" w:ascii="Arial Narrow" w:hAnsi="Arial Narrow"/>
          <w:color w:val="000000"/>
          <w:sz w:val="18"/>
          <w:szCs w:val="18"/>
        </w:rPr>
        <w:t xml:space="preserve">" means the “Daily Midpoint” price set forth in </w:t>
      </w:r>
      <w:r>
        <w:rPr>
          <w:rFonts w:eastAsia="Arial Narrow" w:cs="Arial Narrow" w:ascii="Arial Narrow" w:hAnsi="Arial Narrow"/>
          <w:color w:val="000000"/>
          <w:sz w:val="18"/>
          <w:szCs w:val="18"/>
          <w:u w:val="single"/>
        </w:rPr>
        <w:t>Gas Daily</w:t>
      </w:r>
      <w:r>
        <w:rPr>
          <w:rFonts w:eastAsia="Arial Narrow" w:cs="Arial Narrow" w:ascii="Arial Narrow" w:hAnsi="Arial Narrow"/>
          <w:color w:val="000000"/>
          <w:sz w:val="18"/>
          <w:szCs w:val="18"/>
        </w:rPr>
        <w:t>® (Financial Energy Times),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p>
    <w:p>
      <w:pPr>
        <w:pStyle w:val="Normal"/>
        <w:jc w:val="both"/>
        <w:rPr/>
      </w:pPr>
      <w:r>
        <w:rPr>
          <w:rFonts w:eastAsia="Arial Narrow" w:cs="Arial Narrow" w:ascii="Arial Narrow" w:hAnsi="Arial Narrow"/>
          <w:b/>
          <w:bCs/>
          <w:sz w:val="18"/>
          <w:szCs w:val="18"/>
          <w:u w:val="single"/>
        </w:rPr>
        <w:t>3. Payments/Early Termination</w:t>
      </w:r>
      <w:r>
        <w:rPr>
          <w:rFonts w:eastAsia="Arial Narrow" w:cs="Arial Narrow" w:ascii="Arial Narrow" w:hAnsi="Arial Narrow"/>
          <w:sz w:val="18"/>
          <w:szCs w:val="18"/>
        </w:rPr>
        <w:t>. By the 10th day of each month following the month in which gas was scheduled, Seller shall provide Buyer a written statement covering the preceding month.  Billing and payment will be based on scheduled quantities; provided, if gas is transported by an intrastate transporter same will be based on actual receipts and deliveries.  Within 10 days of the request of either party, the other party shall provide, to the extent it has a legal right of access thereto or such statement is then available, a copy of the transporter's allocation statement applicable to gas sold hereunder for the requested period.  All amounts payable under this Spot GTC are due by the 25th day of the month in which the statement therefor was received.  If the due date for any payment to be made hereunder is not a business day, the due date for such payment shall be the following business day.  Payment of all funds shall be made by wire payment in such manner that U.S. funds are immediately available to the payee on the applicable due date.  Interest on past due amounts shall accrue at the lesser of the rate of 10% per annum or the maximum rate permitted by law.  Obligations to make payment under all transactions hereby governed may be offset or recouped against each other, or netted for payment.  If a party shall make an assignment or arrange</w:t>
        <w:softHyphen/>
        <w:t>ment for the benefit of creditors, file a petition or commence, authorize or acquiesce in the commencement of a proceed</w:t>
        <w:softHyphen/>
        <w:t>ing under any bankruptcy or similar law, or have such petition filed against it and such proceeding remains undismissed for 30 days, otherwise become bankrupt or insolvent, or be unable to pay its debts as due, then all transactions hereunder shall automatically terminate, the other party shall calculate its damages in respect of each transaction as if no further scheduling of gas will occur and net same against each other; the resulting net amount, if positive, being immediately due and payable to such other party.</w:t>
      </w:r>
    </w:p>
    <w:p>
      <w:pPr>
        <w:pStyle w:val="Normal"/>
        <w:jc w:val="both"/>
        <w:rPr/>
      </w:pPr>
      <w:r>
        <w:rPr>
          <w:rFonts w:eastAsia="Arial Narrow" w:cs="Arial Narrow" w:ascii="Arial Narrow" w:hAnsi="Arial Narrow"/>
          <w:b/>
          <w:bCs/>
          <w:sz w:val="18"/>
          <w:szCs w:val="18"/>
          <w:u w:val="single"/>
        </w:rPr>
        <w:t>4. Force Majeure</w:t>
      </w:r>
      <w:r>
        <w:rPr>
          <w:rFonts w:eastAsia="Arial Narrow" w:cs="Arial Narrow" w:ascii="Arial Narrow" w:hAnsi="Arial Narrow"/>
          <w:sz w:val="18"/>
          <w:szCs w:val="18"/>
        </w:rPr>
        <w:t>.</w:t>
      </w:r>
      <w:r>
        <w:rPr>
          <w:rFonts w:eastAsia="Arial Narrow" w:cs="Arial Narrow" w:ascii="Arial Narrow" w:hAnsi="Arial Narrow"/>
          <w:b/>
          <w:bCs/>
          <w:sz w:val="18"/>
          <w:szCs w:val="18"/>
        </w:rPr>
        <w:t xml:space="preserve"> </w:t>
      </w:r>
      <w:r>
        <w:rPr>
          <w:rFonts w:eastAsia="Arial Narrow" w:cs="Arial Narrow" w:ascii="Arial Narrow" w:hAnsi="Arial Narrow"/>
          <w:sz w:val="18"/>
          <w:szCs w:val="18"/>
        </w:rPr>
        <w:t xml:space="preserve">In the event either party is rendered unable, wholly or in part, by </w:t>
      </w:r>
      <w:r>
        <w:rPr>
          <w:rFonts w:eastAsia="Arial Narrow" w:cs="Arial Narrow" w:ascii="Arial Narrow" w:hAnsi="Arial Narrow"/>
          <w:sz w:val="18"/>
          <w:szCs w:val="18"/>
          <w:u w:val="single"/>
        </w:rPr>
        <w:t>Force Majeure</w:t>
      </w:r>
      <w:r>
        <w:rPr>
          <w:rFonts w:eastAsia="Arial Narrow" w:cs="Arial Narrow" w:ascii="Arial Narrow" w:hAnsi="Arial Narrow"/>
          <w:sz w:val="18"/>
          <w:szCs w:val="18"/>
        </w:rPr>
        <w:t xml:space="preserve"> to carry out its obligations, other than payment, it is agreed that upon such party's giving notice of such </w:t>
      </w:r>
      <w:r>
        <w:rPr>
          <w:rFonts w:eastAsia="Arial Narrow" w:cs="Arial Narrow" w:ascii="Arial Narrow" w:hAnsi="Arial Narrow"/>
          <w:sz w:val="18"/>
          <w:szCs w:val="18"/>
          <w:u w:val="single"/>
        </w:rPr>
        <w:t>Force Majeure</w:t>
      </w:r>
      <w:r>
        <w:rPr>
          <w:rFonts w:eastAsia="Arial Narrow" w:cs="Arial Narrow" w:ascii="Arial Narrow" w:hAnsi="Arial Narrow"/>
          <w:sz w:val="18"/>
          <w:szCs w:val="18"/>
        </w:rPr>
        <w:t xml:space="preserve"> to the other party, the obligations of the party giving such notice, to the extent affected by such event, shall be suspended from the inception and during the continuance of the </w:t>
      </w:r>
      <w:r>
        <w:rPr>
          <w:rFonts w:eastAsia="Arial Narrow" w:cs="Arial Narrow" w:ascii="Arial Narrow" w:hAnsi="Arial Narrow"/>
          <w:sz w:val="18"/>
          <w:szCs w:val="18"/>
          <w:u w:val="single"/>
        </w:rPr>
        <w:t>Force Majeure</w:t>
      </w:r>
      <w:r>
        <w:rPr>
          <w:rFonts w:eastAsia="Arial Narrow" w:cs="Arial Narrow" w:ascii="Arial Narrow" w:hAnsi="Arial Narrow"/>
          <w:sz w:val="18"/>
          <w:szCs w:val="18"/>
        </w:rPr>
        <w:t>.  "</w:t>
      </w:r>
      <w:r>
        <w:rPr>
          <w:rFonts w:eastAsia="Arial Narrow" w:cs="Arial Narrow" w:ascii="Arial Narrow" w:hAnsi="Arial Narrow"/>
          <w:b/>
          <w:bCs/>
          <w:i/>
          <w:iCs/>
          <w:sz w:val="18"/>
          <w:szCs w:val="18"/>
          <w:u w:val="single"/>
        </w:rPr>
        <w:t>Force Majeure</w:t>
      </w:r>
      <w:r>
        <w:rPr>
          <w:rFonts w:eastAsia="Arial Narrow" w:cs="Arial Narrow" w:ascii="Arial Narrow" w:hAnsi="Arial Narrow"/>
          <w:sz w:val="18"/>
          <w:szCs w:val="18"/>
        </w:rPr>
        <w:t>" means an event not anticipated as of the transaction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nor Seller's ability to sell gas to a market at a more advantageous price, shall constitute an event of </w:t>
      </w:r>
      <w:r>
        <w:rPr>
          <w:rFonts w:eastAsia="Arial Narrow" w:cs="Arial Narrow" w:ascii="Arial Narrow" w:hAnsi="Arial Narrow"/>
          <w:sz w:val="18"/>
          <w:szCs w:val="18"/>
          <w:u w:val="single"/>
        </w:rPr>
        <w:t>Force Majeure</w:t>
      </w:r>
      <w:r>
        <w:rPr>
          <w:rFonts w:eastAsia="Arial Narrow" w:cs="Arial Narrow" w:ascii="Arial Narrow" w:hAnsi="Arial Narrow"/>
          <w:sz w:val="18"/>
          <w:szCs w:val="18"/>
        </w:rPr>
        <w:t>.  "</w:t>
      </w:r>
      <w:r>
        <w:rPr>
          <w:rFonts w:eastAsia="Arial Narrow" w:cs="Arial Narrow" w:ascii="Arial Narrow" w:hAnsi="Arial Narrow"/>
          <w:sz w:val="18"/>
          <w:szCs w:val="18"/>
          <w:u w:val="single"/>
        </w:rPr>
        <w:t>Force Majeure</w:t>
      </w:r>
      <w:r>
        <w:rPr>
          <w:rFonts w:eastAsia="Arial Narrow" w:cs="Arial Narrow" w:ascii="Arial Narrow" w:hAnsi="Arial Narrow"/>
          <w:sz w:val="18"/>
          <w:szCs w:val="18"/>
        </w:rPr>
        <w:t xml:space="preserve">" shall include an event of </w:t>
      </w:r>
      <w:r>
        <w:rPr>
          <w:rFonts w:eastAsia="Arial Narrow" w:cs="Arial Narrow" w:ascii="Arial Narrow" w:hAnsi="Arial Narrow"/>
          <w:sz w:val="18"/>
          <w:szCs w:val="18"/>
          <w:u w:val="single"/>
        </w:rPr>
        <w:t>Force Majeure</w:t>
      </w:r>
      <w:r>
        <w:rPr>
          <w:rFonts w:eastAsia="Arial Narrow" w:cs="Arial Narrow" w:ascii="Arial Narrow" w:hAnsi="Arial Narrow"/>
          <w:sz w:val="18"/>
          <w:szCs w:val="18"/>
        </w:rPr>
        <w:t xml:space="preserve"> occurring with respect to the services of transporters.</w:t>
      </w:r>
    </w:p>
    <w:p>
      <w:pPr>
        <w:pStyle w:val="Normal"/>
        <w:jc w:val="both"/>
        <w:rPr/>
      </w:pPr>
      <w:r>
        <w:rPr>
          <w:rFonts w:eastAsia="Arial Narrow" w:cs="Arial Narrow" w:ascii="Arial Narrow" w:hAnsi="Arial Narrow"/>
          <w:b/>
          <w:bCs/>
          <w:sz w:val="18"/>
          <w:szCs w:val="18"/>
          <w:u w:val="single"/>
        </w:rPr>
        <w:t>5. Taxes</w:t>
      </w:r>
      <w:r>
        <w:rPr>
          <w:rFonts w:eastAsia="Arial Narrow" w:cs="Arial Narrow" w:ascii="Arial Narrow" w:hAnsi="Arial Narrow"/>
          <w:sz w:val="18"/>
          <w:szCs w:val="18"/>
        </w:rPr>
        <w:t>. The Contract Price includes reimburse</w:t>
        <w:softHyphen/>
        <w:t xml:space="preserve">ment for, and Seller shall pay, or reimburse Buyer for, all taxes applicable to the gas sold upstream of the Delivery Point(s).  Seller shall indemnify, defend and hold harmless Buyer from claims for such taxes.  The Contract Price does not include reimbursement for, and Buyer shall pay, or reimburse Seller for, all taxes applicable to the gas sold downstream of or at the Delivery Point(s).  Buyer shall indemnify, defend and hold harmless Seller from claims for such taxes.  </w:t>
      </w:r>
    </w:p>
    <w:p>
      <w:pPr>
        <w:pStyle w:val="Normal"/>
        <w:jc w:val="both"/>
        <w:rPr/>
      </w:pPr>
      <w:r>
        <w:rPr>
          <w:rFonts w:eastAsia="Arial Narrow" w:cs="Arial Narrow" w:ascii="Arial Narrow" w:hAnsi="Arial Narrow"/>
          <w:b/>
          <w:bCs/>
          <w:sz w:val="18"/>
          <w:szCs w:val="18"/>
          <w:u w:val="single"/>
        </w:rPr>
        <w:t>6. Title/Risk of Loss/Imbalances</w:t>
      </w:r>
      <w:r>
        <w:rPr>
          <w:rFonts w:eastAsia="Arial Narrow" w:cs="Arial Narrow" w:ascii="Arial Narrow" w:hAnsi="Arial Narrow"/>
          <w:sz w:val="18"/>
          <w:szCs w:val="18"/>
        </w:rPr>
        <w:t xml:space="preserve">.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Each party assumes all liability for and shall indemnify, defend and hold harmless the other party from any claims, including death of persons, arising from any act or incident occurring when title to gas is vested in the indemnifying party.  </w:t>
      </w:r>
      <w:r>
        <w:rPr>
          <w:rFonts w:eastAsia="Arial Narrow" w:cs="Arial Narrow" w:ascii="Arial Narrow" w:hAnsi="Arial Narrow"/>
          <w:caps/>
          <w:sz w:val="18"/>
          <w:szCs w:val="18"/>
        </w:rPr>
        <w:t>It is the intent of the parties that this indemnity be without regard to the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r>
        <w:rPr>
          <w:rFonts w:eastAsia="Arial Narrow" w:cs="Arial Narrow" w:ascii="Arial Narrow" w:hAnsi="Arial Narrow"/>
          <w:b/>
          <w:bCs/>
          <w:sz w:val="18"/>
          <w:szCs w:val="18"/>
        </w:rPr>
        <w:t xml:space="preserve">.  </w:t>
      </w:r>
      <w:r>
        <w:rPr>
          <w:rFonts w:eastAsia="Arial Narrow" w:cs="Arial Narrow" w:ascii="Arial Narrow" w:hAnsi="Arial Narrow"/>
          <w:sz w:val="18"/>
          <w:szCs w:val="18"/>
        </w:rPr>
        <w:t xml:space="preserve">Differences between scheduled and actual quantities will be settled in cash or gas or by offset as agreed.  </w:t>
      </w:r>
    </w:p>
    <w:p>
      <w:pPr>
        <w:pStyle w:val="Normal"/>
        <w:jc w:val="both"/>
        <w:rPr/>
      </w:pPr>
      <w:r>
        <w:rPr>
          <w:rFonts w:eastAsia="Arial Narrow" w:cs="Arial Narrow" w:ascii="Arial Narrow" w:hAnsi="Arial Narrow"/>
          <w:b/>
          <w:bCs/>
          <w:sz w:val="18"/>
          <w:szCs w:val="18"/>
          <w:u w:val="single"/>
        </w:rPr>
        <w:t>7. Operations</w:t>
      </w:r>
      <w:r>
        <w:rPr>
          <w:rFonts w:eastAsia="Arial Narrow" w:cs="Arial Narrow" w:ascii="Arial Narrow" w:hAnsi="Arial Narrow"/>
          <w:sz w:val="18"/>
          <w:szCs w:val="18"/>
        </w:rPr>
        <w:t xml:space="preserve">. Should either Party change the quantities to be scheduled from the DCQ, with respect to Tier 1 Interruptible Gas, such Party shall provide to the other Party facsimile notice of interruption in accordance with the requirements of </w:t>
      </w:r>
      <w:r>
        <w:rPr>
          <w:rFonts w:eastAsia="Arial Narrow" w:cs="Arial Narrow" w:ascii="Arial Narrow" w:hAnsi="Arial Narrow"/>
          <w:sz w:val="18"/>
          <w:szCs w:val="18"/>
          <w:u w:val="single"/>
        </w:rPr>
        <w:t>Section 2</w:t>
      </w:r>
      <w:r>
        <w:rPr>
          <w:rFonts w:eastAsia="Arial Narrow" w:cs="Arial Narrow" w:ascii="Arial Narrow" w:hAnsi="Arial Narrow"/>
          <w:sz w:val="18"/>
          <w:szCs w:val="18"/>
        </w:rPr>
        <w:t xml:space="preserve">, and with respect to Tier 3 Firm Gas, such Party (without affecting its liability under </w:t>
      </w:r>
      <w:r>
        <w:rPr>
          <w:rFonts w:eastAsia="Arial Narrow" w:cs="Arial Narrow" w:ascii="Arial Narrow" w:hAnsi="Arial Narrow"/>
          <w:sz w:val="18"/>
          <w:szCs w:val="18"/>
          <w:u w:val="single"/>
        </w:rPr>
        <w:t>Section 2</w:t>
      </w:r>
      <w:r>
        <w:rPr>
          <w:rFonts w:eastAsia="Arial Narrow" w:cs="Arial Narrow" w:ascii="Arial Narrow" w:hAnsi="Arial Narrow"/>
          <w:sz w:val="18"/>
          <w:szCs w:val="18"/>
        </w:rPr>
        <w:t xml:space="preserve">) shall provide to the other Party facsimile notice thereof not later than one business day prior to the earlier of Buyer's or Seller's transporter's nomination deadline for the applicable day.  Nothing in this Spot GTC, including an event of </w:t>
      </w:r>
      <w:r>
        <w:rPr>
          <w:rFonts w:eastAsia="Arial Narrow" w:cs="Arial Narrow" w:ascii="Arial Narrow" w:hAnsi="Arial Narrow"/>
          <w:sz w:val="18"/>
          <w:szCs w:val="18"/>
          <w:u w:val="single"/>
        </w:rPr>
        <w:t>Force Majeure</w:t>
      </w:r>
      <w:r>
        <w:rPr>
          <w:rFonts w:eastAsia="Arial Narrow" w:cs="Arial Narrow" w:ascii="Arial Narrow" w:hAnsi="Arial Narrow"/>
          <w:sz w:val="18"/>
          <w:szCs w:val="18"/>
        </w:rPr>
        <w:t>, shall require or permit either party to schedule gas at a point other than a Delivery Point or in excess of the DCQ.  Seller shall obtain transportation to the Delivery Point, and Buyer shall obtain transporta</w:t>
        <w:softHyphen/>
        <w:t>tion from the Delivery Point.  Seller represents and warrants that all gas delivered hereunder shall meet or exceed the specifications of Buyer's transporter.  At appropriate intervals Company's transporter shall measure gas purchased and sold hereunder.  If either party receives an operational flow order from a transporter requiring action to be taken in connection with a transaction ("</w:t>
      </w:r>
      <w:r>
        <w:rPr>
          <w:rFonts w:eastAsia="Arial Narrow" w:cs="Arial Narrow" w:ascii="Arial Narrow" w:hAnsi="Arial Narrow"/>
          <w:sz w:val="18"/>
          <w:szCs w:val="18"/>
          <w:u w:val="single"/>
        </w:rPr>
        <w:t>OFO</w:t>
      </w:r>
      <w:r>
        <w:rPr>
          <w:rFonts w:eastAsia="Arial Narrow" w:cs="Arial Narrow" w:ascii="Arial Narrow" w:hAnsi="Arial Narrow"/>
          <w:sz w:val="18"/>
          <w:szCs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of which the indemnifying party failed to give the indemnified party the notice required hereunder or under which the indemnifying party failed to take timely action required by the OFO.</w:t>
      </w:r>
    </w:p>
    <w:p>
      <w:pPr>
        <w:pStyle w:val="Normal"/>
        <w:jc w:val="both"/>
        <w:rPr/>
      </w:pPr>
      <w:r>
        <w:rPr>
          <w:rFonts w:eastAsia="Arial Narrow" w:cs="Arial Narrow" w:ascii="Arial Narrow" w:hAnsi="Arial Narrow"/>
          <w:b/>
          <w:bCs/>
          <w:sz w:val="18"/>
          <w:szCs w:val="18"/>
          <w:u w:val="single"/>
        </w:rPr>
        <w:t>8. Arbitration.</w:t>
      </w:r>
      <w:r>
        <w:rPr>
          <w:rFonts w:eastAsia="Arial Narrow" w:cs="Arial Narrow" w:ascii="Arial Narrow" w:hAnsi="Arial Narrow"/>
          <w:sz w:val="18"/>
          <w:szCs w:val="18"/>
        </w:rPr>
        <w:t xml:space="preserve">  Any dispute relating to this Agreement shall be resolved by binding, self-administered arbitration pursuant to the Commercial Arbitration Rules of the </w:t>
      </w:r>
      <w:r>
        <w:rPr>
          <w:rFonts w:eastAsia="Arial Narrow" w:cs="Arial Narrow" w:ascii="Arial Narrow" w:hAnsi="Arial Narrow"/>
          <w:sz w:val="18"/>
          <w:szCs w:val="18"/>
          <w:u w:val="single"/>
        </w:rPr>
        <w:t>American Arbitration Association ("AAA")</w:t>
      </w:r>
      <w:r>
        <w:rPr>
          <w:rFonts w:eastAsia="Arial Narrow" w:cs="Arial Narrow" w:ascii="Arial Narrow" w:hAnsi="Arial Narrow"/>
          <w:sz w:val="18"/>
          <w:szCs w:val="18"/>
        </w:rPr>
        <w:t xml:space="preserve"> and all such proceedings shall be subject to the Federal Arbitration Act.  A single arbitrator shall be selected under the expedited rules of the AAA.  Only damages allowed pursuant to this Agreement may be awarded and the arbitrator shall have no authority to award treble, exemplary or punitive damages of any type under any circumstances regardless of whether such damages may be available under Texas law.</w:t>
      </w:r>
    </w:p>
    <w:p>
      <w:pPr>
        <w:pStyle w:val="Normal"/>
        <w:tabs>
          <w:tab w:val="clear" w:pos="720"/>
          <w:tab w:val="left" w:pos="4050" w:leader="none"/>
          <w:tab w:val="left" w:pos="5400" w:leader="none"/>
          <w:tab w:val="left" w:pos="7290" w:leader="none"/>
          <w:tab w:val="left" w:pos="9360" w:leader="none"/>
        </w:tabs>
        <w:jc w:val="both"/>
        <w:rPr/>
      </w:pPr>
      <w:r>
        <w:rPr>
          <w:rFonts w:eastAsia="Arial Narrow" w:cs="Arial Narrow" w:ascii="Arial Narrow" w:hAnsi="Arial Narrow"/>
          <w:b/>
          <w:bCs/>
          <w:caps/>
          <w:sz w:val="18"/>
          <w:szCs w:val="18"/>
          <w:u w:val="single"/>
        </w:rPr>
        <w:t>9. Damages</w:t>
      </w:r>
      <w:r>
        <w:rPr>
          <w:rFonts w:eastAsia="Arial Narrow" w:cs="Arial Narrow" w:ascii="Arial Narrow" w:hAnsi="Arial Narrow"/>
          <w:caps/>
          <w:sz w:val="18"/>
          <w:szCs w:val="18"/>
        </w:rPr>
        <w:t>.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for the unauthorized receipt of gas by the other party.  SUBJECT TO THE NOTICES HEREIN REQUIRED FOR INTERRUPTIONS, NOTHING HEREIN OR UNDER ANY TRANSACTION SHALL ENTITLE SELLER OR BUYER TO DELIVER OR TAKE ANY TIER 1 GAS, AND TO THE EXTENT PERMITTED BY LAW SELLER AND BUYER DO HEREBY WAIVE ANY RIGHT TO DAMAGES UNDER STATE LAWS AND REGULATIONS REQUIRING RATABLE PRODUCTION OR TAKING. Buyer acknowledges that it has entered into this agreement and is contracting for the goods to be supplied by Seller based solely upon the express representations and warranties herein and, subject thereto, accepts such GOODS "AS IS" AND "WITH ALL FAULTS."</w:t>
      </w:r>
    </w:p>
    <w:p>
      <w:pPr>
        <w:pStyle w:val="Normal"/>
        <w:jc w:val="both"/>
        <w:rPr>
          <w:rFonts w:ascii="Arial Narrow" w:hAnsi="Arial Narrow" w:eastAsia="Arial Narrow" w:cs="Arial Narrow"/>
          <w:caps/>
          <w:sz w:val="16"/>
          <w:szCs w:val="16"/>
        </w:rPr>
      </w:pPr>
      <w:r>
        <w:rPr>
          <w:rFonts w:eastAsia="Arial Narrow" w:cs="Arial Narrow" w:ascii="Arial Narrow" w:hAnsi="Arial Narrow"/>
          <w:caps/>
          <w:sz w:val="16"/>
          <w:szCs w:val="16"/>
        </w:rPr>
      </w:r>
    </w:p>
    <w:sectPr>
      <w:headerReference w:type="default" r:id="rId3"/>
      <w:headerReference w:type="first" r:id="rId4"/>
      <w:footerReference w:type="default" r:id="rId5"/>
      <w:footerReference w:type="first" r:id="rId6"/>
      <w:type w:val="nextPage"/>
      <w:pgSz w:w="12240" w:h="15840"/>
      <w:pgMar w:left="720" w:right="720" w:gutter="0" w:header="720" w:top="776" w:footer="720" w:bottom="776"/>
      <w:pgNumType w:start="1"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Tms Rmn">
    <w:altName w:val="Times New Roman"/>
    <w:charset w:val="01"/>
    <w:family w:val="roman"/>
    <w:pitch w:val="variable"/>
  </w:font>
  <w:font w:name="Liberation Sans">
    <w:altName w:val="Arial"/>
    <w:charset w:val="01" w:characterSet="utf-8"/>
    <w:family w:val="swiss"/>
    <w:pitch w:val="variable"/>
  </w:font>
  <w:font w:name="Arial">
    <w:charset w:val="01"/>
    <w:family w:val="swiss"/>
    <w:pitch w:val="variable"/>
  </w:font>
  <w:font w:name="Arial Narrow">
    <w:charset w:val="01"/>
    <w:family w:val="swiss"/>
    <w:pitch w:val="variable"/>
  </w:font>
  <w:font w:name="Symbol">
    <w:charset w:val="0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p>
    <w:pPr>
      <w:pStyle w:val="Normal"/>
      <w:tabs>
        <w:tab w:val="clear" w:pos="720"/>
        <w:tab w:val="left" w:pos="4320" w:leader="none"/>
        <w:tab w:val="left" w:pos="8280" w:leader="none"/>
      </w:tabs>
      <w:jc w:val="both"/>
      <w:rPr>
        <w:sz w:val="12"/>
        <w:szCs w:val="12"/>
      </w:rPr>
    </w:pPr>
    <w:r>
      <w:rPr>
        <w:sz w:val="12"/>
        <w:szCs w:val="12"/>
      </w:rPr>
      <w:fldChar w:fldCharType="begin"/>
    </w:r>
    <w:r>
      <w:rPr>
        <w:sz w:val="12"/>
        <w:szCs w:val="12"/>
      </w:rPr>
      <w:instrText xml:space="preserve"> FILENAME \p </w:instrText>
    </w:r>
    <w:r>
      <w:rPr>
        <w:sz w:val="12"/>
        <w:szCs w:val="12"/>
      </w:rPr>
      <w:fldChar w:fldCharType="separate"/>
    </w:r>
    <w:r>
      <w:rPr>
        <w:sz w:val="12"/>
        <w:szCs w:val="12"/>
      </w:rPr>
      <w:t>/mnt/main-storage/datasets/enron-docs/doc/2001_023crfm-f6f381fe83e4a45ce277e5a80e150caea2f03154f48cb2be1d598fecbbd56690.doc</w:t>
    </w:r>
    <w:r>
      <w:rPr>
        <w:sz w:val="12"/>
        <w:szCs w:val="1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sz w:val="12"/>
        <w:szCs w:val="12"/>
      </w:rPr>
    </w:pPr>
    <w:r>
      <w:rPr>
        <w:sz w:val="12"/>
        <w:szCs w:val="12"/>
      </w:rPr>
      <w:fldChar w:fldCharType="begin"/>
    </w:r>
    <w:r>
      <w:rPr>
        <w:sz w:val="12"/>
        <w:szCs w:val="12"/>
      </w:rPr>
      <w:instrText xml:space="preserve"> FILENAME \p </w:instrText>
    </w:r>
    <w:r>
      <w:rPr>
        <w:sz w:val="12"/>
        <w:szCs w:val="12"/>
      </w:rPr>
      <w:fldChar w:fldCharType="separate"/>
    </w:r>
    <w:r>
      <w:rPr>
        <w:sz w:val="12"/>
        <w:szCs w:val="12"/>
      </w:rPr>
      <w:t>/mnt/main-storage/datasets/enron-docs/doc/2001_023crfm-f6f381fe83e4a45ce277e5a80e150caea2f03154f48cb2be1d598fecbbd56690.doc</w:t>
    </w:r>
    <w:r>
      <w:rPr>
        <w:sz w:val="12"/>
        <w:szCs w:val="12"/>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Narrow" w:hAnsi="Arial Narrow" w:eastAsia="Arial Narrow" w:cs="Arial Narrow"/>
        <w:sz w:val="20"/>
        <w:szCs w:val="20"/>
      </w:rPr>
    </w:pPr>
    <w:r>
      <w:rPr>
        <w:rFonts w:eastAsia="Arial Narrow" w:cs="Arial Narrow" w:ascii="Arial Narrow" w:hAnsi="Arial Narrow"/>
        <w:sz w:val="20"/>
        <w:szCs w:val="20"/>
      </w:rPr>
      <w:t>Crestar Energy Marketing Corp.</w:t>
    </w:r>
  </w:p>
  <w:p>
    <w:pPr>
      <w:pStyle w:val="Header"/>
      <w:rPr>
        <w:rFonts w:ascii="Arial Narrow" w:hAnsi="Arial Narrow" w:eastAsia="Arial Narrow" w:cs="Arial Narrow"/>
        <w:sz w:val="20"/>
        <w:szCs w:val="20"/>
      </w:rPr>
    </w:pPr>
    <w:r>
      <w:rPr>
        <w:rFonts w:eastAsia="Arial Narrow" w:cs="Arial Narrow" w:ascii="Arial Narrow" w:hAnsi="Arial Narrow"/>
        <w:sz w:val="20"/>
        <w:szCs w:val="20"/>
      </w:rPr>
      <w:t xml:space="preserve">March 22, 2001 </w:t>
    </w:r>
  </w:p>
  <w:p>
    <w:pPr>
      <w:pStyle w:val="Header"/>
      <w:rPr>
        <w:rStyle w:val="PageNumber"/>
        <w:rFonts w:ascii="Arial Narrow" w:hAnsi="Arial Narrow" w:eastAsia="Arial Narrow" w:cs="Arial Narrow"/>
        <w:sz w:val="20"/>
        <w:szCs w:val="20"/>
      </w:rPr>
    </w:pPr>
    <w:r>
      <w:rPr>
        <w:rFonts w:eastAsia="Arial Narrow" w:cs="Arial Narrow" w:ascii="Arial Narrow" w:hAnsi="Arial Narrow"/>
        <w:sz w:val="20"/>
        <w:szCs w:val="20"/>
      </w:rPr>
      <w:t xml:space="preserve">Page </w:t>
    </w:r>
    <w:r>
      <w:rPr>
        <w:rStyle w:val="PageNumber"/>
        <w:rFonts w:eastAsia="Arial Narrow" w:cs="Arial Narrow" w:ascii="Arial Narrow" w:hAnsi="Arial Narrow"/>
        <w:sz w:val="20"/>
        <w:szCs w:val="20"/>
      </w:rPr>
      <w:fldChar w:fldCharType="begin"/>
    </w:r>
    <w:r>
      <w:rPr>
        <w:rStyle w:val="PageNumber"/>
        <w:sz w:val="20"/>
        <w:szCs w:val="20"/>
        <w:rFonts w:eastAsia="Arial Narrow" w:cs="Arial Narrow" w:ascii="Arial Narrow" w:hAnsi="Arial Narrow"/>
      </w:rPr>
      <w:instrText xml:space="preserve"> PAGE </w:instrText>
    </w:r>
    <w:r>
      <w:rPr>
        <w:rStyle w:val="PageNumber"/>
        <w:sz w:val="20"/>
        <w:szCs w:val="20"/>
        <w:rFonts w:eastAsia="Arial Narrow" w:cs="Arial Narrow" w:ascii="Arial Narrow" w:hAnsi="Arial Narrow"/>
      </w:rPr>
      <w:fldChar w:fldCharType="separate"/>
    </w:r>
    <w:r>
      <w:rPr>
        <w:rStyle w:val="PageNumber"/>
        <w:sz w:val="20"/>
        <w:szCs w:val="20"/>
        <w:rFonts w:eastAsia="Arial Narrow" w:cs="Arial Narrow" w:ascii="Arial Narrow" w:hAnsi="Arial Narrow"/>
      </w:rPr>
      <w:t>5</w:t>
    </w:r>
    <w:r>
      <w:rPr>
        <w:rStyle w:val="PageNumber"/>
        <w:sz w:val="20"/>
        <w:szCs w:val="20"/>
        <w:rFonts w:eastAsia="Arial Narrow" w:cs="Arial Narrow" w:ascii="Arial Narrow" w:hAnsi="Arial Narrow"/>
      </w:rPr>
      <w:fldChar w:fldCharType="end"/>
    </w:r>
  </w:p>
  <w:p>
    <w:pPr>
      <w:pStyle w:val="Header"/>
      <w:rPr>
        <w:rStyle w:val="PageNumber"/>
        <w:rFonts w:ascii="Arial Narrow" w:hAnsi="Arial Narrow" w:eastAsia="Arial Narrow" w:cs="Arial Narrow"/>
        <w:sz w:val="20"/>
        <w:szCs w:val="20"/>
      </w:rPr>
    </w:pPr>
    <w:r>
      <w:rPr/>
    </w:r>
  </w:p>
  <w:p>
    <w:pPr>
      <w:pStyle w:val="Header"/>
      <w:rPr>
        <w:rStyle w:val="PageNumber"/>
        <w:rFonts w:ascii="Arial Narrow" w:hAnsi="Arial Narrow" w:eastAsia="Arial Narrow" w:cs="Arial Narrow"/>
        <w:sz w:val="20"/>
        <w:szCs w:val="20"/>
      </w:rPr>
    </w:pPr>
    <w:r>
      <w:rPr/>
    </w:r>
  </w:p>
  <w:p>
    <w:pPr>
      <w:pStyle w:val="Header"/>
      <w:rPr>
        <w:rFonts w:ascii="Arial Narrow" w:hAnsi="Arial Narrow" w:eastAsia="Arial Narrow" w:cs="Arial Narrow"/>
        <w:sz w:val="20"/>
        <w:szCs w:val="20"/>
      </w:rPr>
    </w:pPr>
    <w:r>
      <w:rPr>
        <w:rFonts w:eastAsia="Arial Narrow" w:cs="Arial Narrow" w:ascii="Arial Narrow" w:hAnsi="Arial Narrow"/>
        <w:sz w:val="20"/>
        <w:szCs w:val="2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eastAsia="zh-CN" w:bidi="hi-IN"/>
    </w:rPr>
  </w:style>
  <w:style w:type="paragraph" w:styleId="Heading3">
    <w:name w:val="heading 3"/>
    <w:basedOn w:val="Normal"/>
    <w:next w:val="NormalIndent"/>
    <w:qFormat/>
    <w:pPr>
      <w:numPr>
        <w:ilvl w:val="2"/>
        <w:numId w:val="1"/>
      </w:numPr>
      <w:ind w:hanging="0" w:start="360" w:end="0"/>
      <w:outlineLvl w:val="2"/>
    </w:pPr>
    <w:rPr>
      <w:rFonts w:ascii="Tms Rmn" w:hAnsi="Tms Rmn" w:eastAsia="Tms Rmn" w:cs="Tms Rmn"/>
      <w:b/>
      <w:bCs/>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z w:val="20"/>
      <w:szCs w:val="20"/>
    </w:rPr>
  </w:style>
  <w:style w:type="paragraph" w:styleId="Header">
    <w:name w:val="head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5400" w:leader="none"/>
        <w:tab w:val="right" w:pos="1080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emf"/><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PERSONAL.DOT</Template>
  <TotalTime>13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2001-03-05T20:15:00Z</dcterms:created>
  <dc:creator>vv24f</dc:creator>
  <dc:description/>
  <dc:language>en-CA</dc:language>
  <cp:lastModifiedBy>dhyvl</cp:lastModifiedBy>
  <cp:lastPrinted>2001-03-22T07:42:00Z</cp:lastPrinted>
  <dcterms:modified xsi:type="dcterms:W3CDTF">2001-03-22T11:12:00Z</dcterms:modified>
  <cp:revision>7</cp:revision>
  <dc:subject/>
  <dc:title>ENFOLIO* "SPOT"  CONFIRMATION--MASTER "SPOT" PURCHASE/SALE AGREEMENT GOVERNS</dc:title>
</cp:coreProperties>
</file>