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Normal"/>
        <w:jc w:val="center"/>
        <w:rPr/>
      </w:pPr>
      <w:r>
        <w:rPr/>
      </w:r>
    </w:p>
    <w:p>
      <w:pPr>
        <w:pStyle w:val="Normal"/>
        <w:jc w:val="center"/>
        <w:rPr/>
      </w:pPr>
      <w:r>
        <w:rPr/>
      </w:r>
    </w:p>
    <w:p>
      <w:pPr>
        <w:pStyle w:val="Normal"/>
        <w:jc w:val="center"/>
        <w:rPr/>
      </w:pPr>
      <w:r>
        <w:rPr/>
        <w:t>March 5, 2001</w:t>
      </w:r>
    </w:p>
    <w:p>
      <w:pPr>
        <w:pStyle w:val="Normal"/>
        <w:rPr/>
      </w:pPr>
      <w:r>
        <w:rPr/>
      </w:r>
    </w:p>
    <w:p>
      <w:pPr>
        <w:pStyle w:val="Normal"/>
        <w:rPr/>
      </w:pPr>
      <w:r>
        <w:rPr/>
      </w:r>
    </w:p>
    <w:p>
      <w:pPr>
        <w:pStyle w:val="Normal"/>
        <w:rPr/>
      </w:pPr>
      <w:r>
        <w:rPr/>
        <w:t>PG&amp;E Energy Trading – Gas Corporation</w:t>
      </w:r>
    </w:p>
    <w:p>
      <w:pPr>
        <w:pStyle w:val="Normal"/>
        <w:numPr>
          <w:ilvl w:val="0"/>
          <w:numId w:val="0"/>
        </w:numPr>
        <w:outlineLvl w:val="0"/>
        <w:rPr/>
      </w:pPr>
      <w:r>
        <w:rPr/>
        <w:t>7500 Old Georgetown Road</w:t>
      </w:r>
    </w:p>
    <w:p>
      <w:pPr>
        <w:pStyle w:val="Normal"/>
        <w:numPr>
          <w:ilvl w:val="0"/>
          <w:numId w:val="0"/>
        </w:numPr>
        <w:outlineLvl w:val="0"/>
        <w:rPr/>
      </w:pPr>
      <w:r>
        <w:rPr/>
        <w:t>Bethesda, Maryland  20814</w:t>
      </w:r>
    </w:p>
    <w:p>
      <w:pPr>
        <w:pStyle w:val="Normal"/>
        <w:rPr/>
      </w:pPr>
      <w:r>
        <w:rPr/>
        <w:t>Fax No.:  (301) 280-6601</w:t>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This Transaction Agreement shall form and effectuate the agreement between PG&amp;E Energy Trading – Gas Corporation (“PG&amp;E” and "Customer") and enovate L.L.C. ("enovate" and "Company")  regarding the terms of the Firm Balancing Service between the parties at The Peoples Gas Light and Coke Company (Peoples) citygate, which service involves the ability to carry a negative balance in the period of April through November 2001 and both injection and withdrawal capabilities for the full one-year term as fully described below.  Transaction Agreement No. __</w:t>
      </w:r>
      <w:r>
        <w:rPr>
          <w:u w:val="single"/>
        </w:rPr>
        <w:t>1</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bCs/>
              </w:rPr>
              <w:t>TERM</w:t>
            </w:r>
            <w:r>
              <w:rPr/>
              <w:t>:</w:t>
            </w:r>
          </w:p>
        </w:tc>
        <w:tc>
          <w:tcPr>
            <w:tcW w:w="6228" w:type="dxa"/>
            <w:tcBorders/>
          </w:tcPr>
          <w:p>
            <w:pPr>
              <w:pStyle w:val="Normal"/>
              <w:jc w:val="both"/>
              <w:rPr/>
            </w:pPr>
            <w:r>
              <w:rPr/>
              <w:t>April 1, 2001 through March 31, 2002.</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pPr>
            <w:r>
              <w:rPr>
                <w:b/>
                <w:bCs/>
              </w:rPr>
              <w:t>MSV</w:t>
            </w:r>
            <w:r>
              <w:rPr/>
              <w:t xml:space="preserve">  </w:t>
            </w:r>
            <w:r>
              <w:rPr>
                <w:b/>
                <w:bCs/>
              </w:rPr>
              <w:t xml:space="preserve">(Maximum </w:t>
            </w:r>
          </w:p>
          <w:p>
            <w:pPr>
              <w:pStyle w:val="Normal"/>
              <w:tabs>
                <w:tab w:val="left" w:pos="720" w:leader="none"/>
              </w:tabs>
              <w:rPr>
                <w:b/>
                <w:bCs/>
              </w:rPr>
            </w:pPr>
            <w:r>
              <w:rPr>
                <w:b/>
                <w:bCs/>
              </w:rPr>
              <w:t xml:space="preserve">            </w:t>
            </w:r>
            <w:r>
              <w:rPr>
                <w:b/>
                <w:bCs/>
              </w:rPr>
              <w:t>Storage Volume):</w:t>
            </w:r>
          </w:p>
        </w:tc>
        <w:tc>
          <w:tcPr>
            <w:tcW w:w="6228" w:type="dxa"/>
            <w:tcBorders/>
          </w:tcPr>
          <w:p>
            <w:pPr>
              <w:pStyle w:val="Normal"/>
              <w:snapToGrid w:val="false"/>
              <w:jc w:val="both"/>
              <w:rPr>
                <w:b/>
                <w:bCs/>
              </w:rPr>
            </w:pPr>
            <w:r>
              <w:rPr>
                <w:b/>
                <w:bCs/>
              </w:rPr>
            </w:r>
          </w:p>
          <w:p>
            <w:pPr>
              <w:pStyle w:val="Normal"/>
              <w:jc w:val="both"/>
              <w:rPr/>
            </w:pPr>
            <w:r>
              <w:rPr/>
              <w:t xml:space="preserve">500,000 MMBtu </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bCs/>
              </w:rPr>
            </w:pPr>
            <w:r>
              <w:rPr>
                <w:b/>
                <w:bCs/>
              </w:rPr>
              <w:t>Receipt MDQ:</w:t>
            </w:r>
          </w:p>
          <w:p>
            <w:pPr>
              <w:pStyle w:val="Normal"/>
              <w:rPr>
                <w:b/>
                <w:bCs/>
              </w:rPr>
            </w:pPr>
            <w:r>
              <w:rPr>
                <w:b/>
                <w:bCs/>
              </w:rPr>
            </w:r>
          </w:p>
          <w:p>
            <w:pPr>
              <w:pStyle w:val="Normal"/>
              <w:rPr>
                <w:b/>
                <w:bCs/>
              </w:rPr>
            </w:pPr>
            <w:r>
              <w:rPr>
                <w:b/>
                <w:bCs/>
              </w:rPr>
              <w:t>Receipt Location:</w:t>
            </w:r>
          </w:p>
          <w:p>
            <w:pPr>
              <w:pStyle w:val="Normal"/>
              <w:rPr>
                <w:b/>
                <w:bCs/>
              </w:rPr>
            </w:pPr>
            <w:r>
              <w:rPr>
                <w:b/>
                <w:bCs/>
              </w:rPr>
            </w:r>
          </w:p>
          <w:p>
            <w:pPr>
              <w:pStyle w:val="Normal"/>
              <w:rPr>
                <w:b/>
                <w:bCs/>
              </w:rPr>
            </w:pPr>
            <w:r>
              <w:rPr>
                <w:b/>
                <w:bCs/>
              </w:rPr>
            </w:r>
          </w:p>
          <w:p>
            <w:pPr>
              <w:pStyle w:val="Normal"/>
              <w:rPr>
                <w:b/>
                <w:bCs/>
              </w:rPr>
            </w:pPr>
            <w:r>
              <w:rPr>
                <w:b/>
                <w:bCs/>
              </w:rPr>
              <w:t>Delivery MDQ:</w:t>
            </w:r>
          </w:p>
          <w:p>
            <w:pPr>
              <w:pStyle w:val="Normal"/>
              <w:rPr/>
            </w:pPr>
            <w:r>
              <w:rPr/>
            </w:r>
          </w:p>
          <w:p>
            <w:pPr>
              <w:pStyle w:val="Normal"/>
              <w:ind w:hanging="4320" w:start="4320" w:end="0"/>
              <w:rPr/>
            </w:pPr>
            <w:r>
              <w:rPr>
                <w:b/>
                <w:bCs/>
              </w:rPr>
              <w:t>Delivery Location:</w:t>
            </w:r>
            <w:r>
              <w:rPr/>
              <w:tab/>
              <w:t xml:space="preserve">enovate will provide to Oneok all delivered volumes out of storage at the Peoples TTP. </w:t>
            </w:r>
          </w:p>
          <w:p>
            <w:pPr>
              <w:pStyle w:val="Normal"/>
              <w:rPr>
                <w:b/>
                <w:bCs/>
              </w:rPr>
            </w:pPr>
            <w:r>
              <w:rPr>
                <w:b/>
                <w:bCs/>
              </w:rPr>
            </w:r>
          </w:p>
          <w:p>
            <w:pPr>
              <w:pStyle w:val="Normal"/>
              <w:rPr>
                <w:b/>
                <w:bCs/>
              </w:rPr>
            </w:pPr>
            <w:r>
              <w:rPr>
                <w:b/>
                <w:bCs/>
              </w:rPr>
            </w:r>
          </w:p>
          <w:p>
            <w:pPr>
              <w:pStyle w:val="Normal"/>
              <w:rPr>
                <w:b/>
                <w:bCs/>
              </w:rPr>
            </w:pPr>
            <w:r>
              <w:rPr>
                <w:b/>
                <w:bCs/>
              </w:rPr>
              <w:t>Notification time to enovate:</w:t>
            </w:r>
          </w:p>
        </w:tc>
        <w:tc>
          <w:tcPr>
            <w:tcW w:w="6228" w:type="dxa"/>
            <w:tcBorders/>
          </w:tcPr>
          <w:p>
            <w:pPr>
              <w:pStyle w:val="Normal"/>
              <w:jc w:val="both"/>
              <w:rPr/>
            </w:pPr>
            <w:r>
              <w:rPr/>
              <w:t>0-25,000 MMBtu per day.</w:t>
            </w:r>
          </w:p>
          <w:p>
            <w:pPr>
              <w:pStyle w:val="Normal"/>
              <w:jc w:val="both"/>
              <w:rPr/>
            </w:pPr>
            <w:r>
              <w:rPr/>
            </w:r>
          </w:p>
          <w:p>
            <w:pPr>
              <w:pStyle w:val="Normal"/>
              <w:jc w:val="both"/>
              <w:rPr/>
            </w:pPr>
            <w:r>
              <w:rPr/>
              <w:t>Volumes delivered into storage will be tendered at the pooling point on Peoples’ system (Peoples TTP).</w:t>
            </w:r>
          </w:p>
          <w:p>
            <w:pPr>
              <w:pStyle w:val="Normal"/>
              <w:jc w:val="both"/>
              <w:rPr/>
            </w:pPr>
            <w:r>
              <w:rPr/>
            </w:r>
          </w:p>
          <w:p>
            <w:pPr>
              <w:pStyle w:val="Normal"/>
              <w:rPr/>
            </w:pPr>
            <w:r>
              <w:rPr/>
              <w:t>0-25,000 MMBtu per day.</w:t>
            </w:r>
          </w:p>
          <w:p>
            <w:pPr>
              <w:pStyle w:val="Normal"/>
              <w:jc w:val="both"/>
              <w:rPr/>
            </w:pPr>
            <w:r>
              <w:rPr/>
            </w:r>
          </w:p>
          <w:p>
            <w:pPr>
              <w:pStyle w:val="Normal"/>
              <w:jc w:val="both"/>
              <w:rPr/>
            </w:pPr>
            <w:r>
              <w:rPr/>
              <w:t>enovate will provide to PG&amp;E all delivered volumes out of storage at the Peoples TTP.</w:t>
            </w:r>
          </w:p>
          <w:p>
            <w:pPr>
              <w:pStyle w:val="Normal"/>
              <w:jc w:val="both"/>
              <w:rPr/>
            </w:pPr>
            <w:r>
              <w:rPr/>
            </w:r>
          </w:p>
          <w:p>
            <w:pPr>
              <w:pStyle w:val="Normal"/>
              <w:jc w:val="both"/>
              <w:rPr/>
            </w:pPr>
            <w:r>
              <w:rPr/>
              <w:t xml:space="preserve">Notification from PG&amp;E by </w:t>
            </w:r>
            <w:r>
              <w:rPr>
                <w:b/>
              </w:rPr>
              <w:t>10:00 a.m.</w:t>
            </w:r>
            <w:r>
              <w:rPr/>
              <w:t xml:space="preserve"> on the nomination day prior to gas flow.</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bCs/>
              </w:rPr>
            </w:pPr>
            <w:r>
              <w:rPr>
                <w:b/>
                <w:bCs/>
              </w:rPr>
              <w:t>Late Notification:</w:t>
            </w:r>
          </w:p>
        </w:tc>
        <w:tc>
          <w:tcPr>
            <w:tcW w:w="6228" w:type="dxa"/>
            <w:tcBorders/>
          </w:tcPr>
          <w:p>
            <w:pPr>
              <w:pStyle w:val="Normal"/>
              <w:jc w:val="both"/>
              <w:rPr/>
            </w:pPr>
            <w:r>
              <w:rPr/>
              <w:t>Late nominations not available under this agreement.</w:t>
            </w:r>
          </w:p>
        </w:tc>
      </w:tr>
      <w:tr>
        <w:trPr/>
        <w:tc>
          <w:tcPr>
            <w:tcW w:w="3348" w:type="dxa"/>
            <w:tcBorders/>
          </w:tcPr>
          <w:p>
            <w:pPr>
              <w:pStyle w:val="Normal"/>
              <w:snapToGrid w:val="false"/>
              <w:rPr>
                <w:b/>
                <w:bCs/>
              </w:rPr>
            </w:pPr>
            <w:r>
              <w:rPr>
                <w:b/>
                <w:bCs/>
              </w:rPr>
            </w:r>
          </w:p>
        </w:tc>
        <w:tc>
          <w:tcPr>
            <w:tcW w:w="6228" w:type="dxa"/>
            <w:tcBorders/>
          </w:tcPr>
          <w:p>
            <w:pPr>
              <w:pStyle w:val="Normal"/>
              <w:snapToGrid w:val="false"/>
              <w:ind w:hanging="4320" w:start="4320" w:end="0"/>
              <w:jc w:val="both"/>
              <w:rPr>
                <w:b/>
                <w:bCs/>
              </w:rPr>
            </w:pPr>
            <w:r>
              <w:rPr>
                <w:b/>
                <w:bCs/>
              </w:rPr>
            </w:r>
          </w:p>
        </w:tc>
      </w:tr>
      <w:tr>
        <w:trPr/>
        <w:tc>
          <w:tcPr>
            <w:tcW w:w="3348" w:type="dxa"/>
            <w:tcBorders/>
          </w:tcPr>
          <w:p>
            <w:pPr>
              <w:pStyle w:val="Normal"/>
              <w:rPr>
                <w:b/>
                <w:bCs/>
              </w:rPr>
            </w:pPr>
            <w:r>
              <w:rPr>
                <w:b/>
                <w:bCs/>
              </w:rPr>
              <w:t>Guaranteed rate to enovate:</w:t>
            </w:r>
          </w:p>
        </w:tc>
        <w:tc>
          <w:tcPr>
            <w:tcW w:w="6228" w:type="dxa"/>
            <w:tcBorders/>
          </w:tcPr>
          <w:p>
            <w:pPr>
              <w:pStyle w:val="Normal"/>
              <w:tabs>
                <w:tab w:val="clear" w:pos="720"/>
                <w:tab w:val="left" w:pos="3330" w:leader="none"/>
              </w:tabs>
              <w:ind w:hanging="3330" w:start="3330" w:end="0"/>
              <w:jc w:val="both"/>
              <w:rPr/>
            </w:pPr>
            <w:r>
              <w:rPr/>
              <w:t>$1.92 per MMBtu of the MSV or $960,000.</w:t>
            </w:r>
          </w:p>
          <w:p>
            <w:pPr>
              <w:pStyle w:val="Normal"/>
              <w:jc w:val="both"/>
              <w:rPr/>
            </w:pPr>
            <w:r>
              <w:rPr/>
            </w:r>
          </w:p>
        </w:tc>
      </w:tr>
    </w:tbl>
    <w:p>
      <w:pPr>
        <w:pStyle w:val="Normal"/>
        <w:tabs>
          <w:tab w:val="clear" w:pos="720"/>
          <w:tab w:val="left" w:pos="0" w:leader="none"/>
        </w:tabs>
        <w:ind w:hanging="3330" w:start="3330" w:end="0"/>
        <w:jc w:val="both"/>
        <w:rPr/>
      </w:pPr>
      <w:r>
        <w:rPr>
          <w:b/>
          <w:bCs/>
        </w:rPr>
        <w:t>Payment Terms:</w:t>
        <w:tab/>
      </w:r>
      <w:r>
        <w:rPr/>
        <w:t>enovate will bill PG&amp;E for this service each month during the twelve-month term of this agreement as a reservation charge. As such, PG&amp;E will pay each month $80,000.00 to enovate by the 25</w:t>
      </w:r>
      <w:r>
        <w:rPr>
          <w:vertAlign w:val="superscript"/>
        </w:rPr>
        <w:t>th</w:t>
      </w:r>
      <w:r>
        <w:rPr/>
        <w:t xml:space="preserve"> day of the month following the service month. </w:t>
      </w:r>
    </w:p>
    <w:p>
      <w:pPr>
        <w:pStyle w:val="Normal"/>
        <w:tabs>
          <w:tab w:val="clear" w:pos="720"/>
          <w:tab w:val="left" w:pos="3330" w:leader="none"/>
        </w:tabs>
        <w:ind w:hanging="3330" w:start="3330" w:end="0"/>
        <w:rPr>
          <w:b/>
          <w:bCs/>
        </w:rPr>
      </w:pPr>
      <w:r>
        <w:rPr>
          <w:b/>
          <w:bCs/>
        </w:rPr>
      </w:r>
    </w:p>
    <w:p>
      <w:pPr>
        <w:pStyle w:val="Heading4"/>
        <w:rPr/>
      </w:pPr>
      <w:r>
        <w:rPr/>
        <w:t xml:space="preserve">Negative Inventory </w:t>
      </w:r>
    </w:p>
    <w:p>
      <w:pPr>
        <w:pStyle w:val="Normal"/>
        <w:tabs>
          <w:tab w:val="left" w:pos="720" w:leader="none"/>
          <w:tab w:val="left" w:pos="3330" w:leader="none"/>
        </w:tabs>
        <w:ind w:hanging="3330" w:start="3330" w:end="0"/>
        <w:jc w:val="both"/>
        <w:rPr/>
      </w:pPr>
      <w:r>
        <w:rPr>
          <w:b/>
          <w:bCs/>
        </w:rPr>
        <w:t xml:space="preserve">           </w:t>
      </w:r>
      <w:r>
        <w:rPr>
          <w:b/>
          <w:bCs/>
        </w:rPr>
        <w:t>Balance Provision::</w:t>
        <w:tab/>
      </w:r>
      <w:r>
        <w:rPr/>
        <w:t>PG&amp;E may withdraw gas creating a negative inventory balance during the period of April 1</w:t>
      </w:r>
      <w:r>
        <w:rPr>
          <w:vertAlign w:val="superscript"/>
        </w:rPr>
        <w:t xml:space="preserve">st </w:t>
      </w:r>
      <w:r>
        <w:rPr/>
        <w:t>through November 30</w:t>
      </w:r>
      <w:r>
        <w:rPr>
          <w:vertAlign w:val="superscript"/>
        </w:rPr>
        <w:t xml:space="preserve">th </w:t>
      </w:r>
      <w:r>
        <w:rPr/>
        <w:t>up to 500,000 MMBtu.  Between December 1,</w:t>
      </w:r>
      <w:r>
        <w:rPr>
          <w:vertAlign w:val="superscript"/>
        </w:rPr>
        <w:t xml:space="preserve"> </w:t>
      </w:r>
      <w:r>
        <w:rPr/>
        <w:t xml:space="preserve">2001 and March 31, 2002 inventory must be at zero or above at all times and may </w:t>
      </w:r>
      <w:r>
        <w:rPr>
          <w:b/>
          <w:bCs/>
        </w:rPr>
        <w:t>not</w:t>
      </w:r>
      <w:r>
        <w:rPr/>
        <w:t xml:space="preserve"> go negative.</w:t>
      </w:r>
    </w:p>
    <w:p>
      <w:pPr>
        <w:pStyle w:val="Normal"/>
        <w:tabs>
          <w:tab w:val="clear" w:pos="720"/>
          <w:tab w:val="left" w:pos="3330" w:leader="none"/>
        </w:tabs>
        <w:ind w:hanging="3330" w:start="3330" w:end="0"/>
        <w:jc w:val="both"/>
        <w:rPr>
          <w:b/>
          <w:bCs/>
        </w:rPr>
      </w:pPr>
      <w:r>
        <w:rPr>
          <w:b/>
          <w:bCs/>
        </w:rPr>
        <w:tab/>
        <w:tab/>
        <w:tab/>
      </w:r>
    </w:p>
    <w:p>
      <w:pPr>
        <w:pStyle w:val="BodyTextIndent"/>
        <w:ind w:hanging="3330" w:start="3330" w:end="0"/>
        <w:rPr/>
      </w:pPr>
      <w:r>
        <w:rPr>
          <w:b/>
          <w:bCs/>
        </w:rPr>
        <w:t>Penalty Provision:</w:t>
      </w:r>
      <w:r>
        <w:rPr/>
        <w:tab/>
        <w:t xml:space="preserve">If PG&amp;E fails to comply with the terms and is, at any time, physically </w:t>
      </w:r>
      <w:r>
        <w:rPr>
          <w:b/>
          <w:bCs/>
        </w:rPr>
        <w:t>above</w:t>
      </w:r>
      <w:r>
        <w:rPr/>
        <w:t xml:space="preserve"> their contractual storage limitations then enovate will buy from PG&amp;E the equivalent volumes, at a daily volume up to the contract MDQ, at the lesser of the </w:t>
      </w:r>
      <w:r>
        <w:rPr>
          <w:i/>
          <w:iCs/>
        </w:rPr>
        <w:t>Gas Daily</w:t>
      </w:r>
      <w:r>
        <w:rPr/>
        <w:t xml:space="preserve">, daily “common low” price for Chicago minus $0.15 or the NGI Chicago FOM Index minus $0.15. If PG&amp;E fails to comply with the terms and is, at any time, physically </w:t>
      </w:r>
      <w:r>
        <w:rPr>
          <w:b/>
          <w:bCs/>
        </w:rPr>
        <w:t>below</w:t>
      </w:r>
      <w:r>
        <w:rPr/>
        <w:t xml:space="preserve"> their contractual storage limitations then enovate will sell to PG&amp;E the equivalent volumes, at a daily volume up to the contract MDQ, at the greater of the “common high” </w:t>
      </w:r>
      <w:r>
        <w:rPr>
          <w:i/>
          <w:iCs/>
        </w:rPr>
        <w:t>Gas Daily,</w:t>
      </w:r>
      <w:r>
        <w:rPr/>
        <w:t xml:space="preserve"> daily price for Chicago plus $0.15 or the NGI Chicago FOM Index plus $0.15.</w:t>
      </w:r>
    </w:p>
    <w:p>
      <w:pPr>
        <w:pStyle w:val="Normal"/>
        <w:tabs>
          <w:tab w:val="clear" w:pos="720"/>
          <w:tab w:val="left" w:pos="3330" w:leader="none"/>
        </w:tabs>
        <w:ind w:hanging="3330" w:start="3330" w:end="0"/>
        <w:jc w:val="both"/>
        <w:rPr>
          <w:b/>
          <w:bCs/>
        </w:rPr>
      </w:pPr>
      <w:r>
        <w:rPr>
          <w:b/>
          <w:bCs/>
        </w:rPr>
      </w:r>
    </w:p>
    <w:p>
      <w:pPr>
        <w:pStyle w:val="Normal"/>
        <w:jc w:val="both"/>
        <w:rPr/>
      </w:pPr>
      <w:r>
        <w:rPr/>
        <w:t>This Transaction Agreement is being provided pursuant to and in accordance with the Master Firm Purchase/Sales Agreement dated effective as of December 1, 2000 between Customer and Company, and constitutes part of and is subject to all of the terms and provisions of such Agreement.  All capitalized terms herein used, but not defined, shall have the meanings set forth in the Agreement.  Any objection of Customer to this Transaction Agreement must be made by written notice to Company prior to the Confirm Deadline, as agreed and defined in the Agreement.</w:t>
      </w:r>
    </w:p>
    <w:p>
      <w:pPr>
        <w:pStyle w:val="Normal"/>
        <w:jc w:val="both"/>
        <w:rPr/>
      </w:pPr>
      <w:r>
        <w:rPr/>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Heading2"/>
        <w:tabs>
          <w:tab w:val="clear" w:pos="720"/>
          <w:tab w:val="left" w:pos="5760" w:leader="none"/>
        </w:tabs>
        <w:ind w:hanging="5040" w:start="5040" w:end="0"/>
        <w:rPr/>
      </w:pPr>
      <w:r>
        <w:rPr/>
        <w:t>PG&amp;E Energy Trading  – Gas Corporation</w:t>
        <w:tab/>
        <w:t>enovate, L.L.C.</w:t>
      </w:r>
    </w:p>
    <w:p>
      <w:pPr>
        <w:pStyle w:val="Header"/>
        <w:tabs>
          <w:tab w:val="clear" w:pos="4320"/>
          <w:tab w:val="clear" w:pos="8640"/>
        </w:tabs>
        <w:ind w:firstLine="720" w:end="0"/>
        <w:rPr/>
      </w:pPr>
      <w:r>
        <w:rPr/>
        <w:tab/>
        <w:tab/>
        <w:tab/>
        <w:tab/>
        <w:tab/>
        <w:tab/>
        <w:tab/>
      </w:r>
    </w:p>
    <w:p>
      <w:pPr>
        <w:pStyle w:val="Normal"/>
        <w:ind w:firstLine="720" w:start="5040" w:end="0"/>
        <w:rPr/>
      </w:pPr>
      <w:r>
        <w:rPr/>
      </w:r>
    </w:p>
    <w:p>
      <w:pPr>
        <w:pStyle w:val="Header"/>
        <w:tabs>
          <w:tab w:val="clear" w:pos="4320"/>
          <w:tab w:val="clear" w:pos="8640"/>
        </w:tabs>
        <w:rPr/>
      </w:pPr>
      <w:r>
        <w:rPr/>
        <w:t>By: _________________________________</w:t>
        <w:tab/>
        <w:t>By: __________________________</w:t>
      </w:r>
    </w:p>
    <w:p>
      <w:pPr>
        <w:pStyle w:val="Header"/>
        <w:tabs>
          <w:tab w:val="clear" w:pos="4320"/>
          <w:tab w:val="clear" w:pos="8640"/>
        </w:tabs>
        <w:rPr/>
      </w:pPr>
      <w:r>
        <w:rPr/>
        <w:t>Title ________________________________</w:t>
        <w:tab/>
        <w:t>Title _________________________</w:t>
      </w:r>
    </w:p>
    <w:p>
      <w:pPr>
        <w:pStyle w:val="Header"/>
        <w:tabs>
          <w:tab w:val="clear" w:pos="4320"/>
          <w:tab w:val="clear" w:pos="8640"/>
        </w:tabs>
        <w:rPr/>
      </w:pPr>
      <w:r>
        <w:rPr/>
        <w:t>Date_________________________________</w:t>
        <w:tab/>
        <w:t>Date 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/mnt/main-storage/datasets/enron-docs/doc/2001_022crfm.doc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/mnt/main-storage/datasets/enron-docs/doc/2001_022crfm.doc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PG&amp;E Energy Trading – Gas Corporation</w:t>
    </w:r>
  </w:p>
  <w:p>
    <w:pPr>
      <w:pStyle w:val="Header"/>
      <w:rPr/>
    </w:pPr>
    <w:r>
      <w:rPr/>
      <w:t>March 5, 2001</w:t>
    </w:r>
  </w:p>
  <w:p>
    <w:pPr>
      <w:pStyle w:val="Header"/>
      <w:rPr/>
    </w:pPr>
    <w:r>
      <w:rPr/>
      <w:t xml:space="preserve">Page </w:t>
    </w:r>
    <w:r>
      <w:rPr/>
      <w:fldChar w:fldCharType="begin"/>
    </w:r>
    <w:r>
      <w:rPr/>
      <w:instrText xml:space="preserve"> PAGE </w:instrText>
    </w:r>
    <w:r>
      <w:rPr/>
      <w:fldChar w:fldCharType="separate"/>
    </w:r>
    <w:r>
      <w:rPr/>
      <w:t>3</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2001-03-05T14:48:00Z</dcterms:created>
  <dc:creator>ECT</dc:creator>
  <dc:description/>
  <dc:language>en-CA</dc:language>
  <cp:lastModifiedBy>dhyvl</cp:lastModifiedBy>
  <cp:lastPrinted>2001-03-05T12:44:00Z</cp:lastPrinted>
  <dcterms:modified xsi:type="dcterms:W3CDTF">2001-03-05T16:14:00Z</dcterms:modified>
  <cp:revision>4</cp:revision>
  <dc:subject>El Paso Merchant Energy, L.P.</dc:subject>
  <dc:title>QL7588.1</dc:title>
</cp:coreProperties>
</file>