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February 20,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March 1 2001 through March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6"/>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6"/>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6"/>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7"/>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7"/>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7"/>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7"/>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7"/>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7"/>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7"/>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7"/>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ten cents ($0.10 per MMBtu.</w:t>
      </w:r>
    </w:p>
    <w:p>
      <w:pPr>
        <w:pStyle w:val="BodyTextIndent3"/>
        <w:tabs>
          <w:tab w:val="clear" w:pos="720"/>
          <w:tab w:val="left" w:pos="1440" w:leader="none"/>
          <w:tab w:val="left" w:pos="1800" w:leader="none"/>
        </w:tabs>
        <w:ind w:hanging="1800" w:start="1800" w:end="0"/>
        <w:jc w:val="both"/>
        <w:rPr/>
      </w:pPr>
      <w:r>
        <w:rPr>
          <w:b/>
          <w:i w:val="false"/>
          <w:sz w:val="20"/>
        </w:rPr>
        <w:tab/>
      </w:r>
      <w:r>
        <w:rPr>
          <w:i w:val="false"/>
          <w:sz w:val="20"/>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p>
      <w:pPr>
        <w:pStyle w:val="BodyTextIndent3"/>
        <w:numPr>
          <w:ilvl w:val="0"/>
          <w:numId w:val="5"/>
        </w:numPr>
        <w:tabs>
          <w:tab w:val="clear" w:pos="720"/>
          <w:tab w:val="left" w:pos="1440" w:leader="none"/>
        </w:tabs>
        <w:jc w:val="both"/>
        <w:rPr>
          <w:i w:val="false"/>
          <w:i w:val="false"/>
          <w:sz w:val="20"/>
        </w:rPr>
      </w:pPr>
      <w:r>
        <w:rPr>
          <w:i w:val="false"/>
          <w:sz w:val="20"/>
        </w:rPr>
        <w:t>Fixed Price Strategies.  From time to time, Seller shall present Buyer with pricing alternatives such as fixed price strategies.  With respect to the alternatives presented by Seller, Buyer shall make the decision whether or not to implement any of the pricing alternatives.  In the event an alternative presented by Seller and chosen by Buyer results in price variations from the Contract Price, the variations will be documented.  Such variations shall be tracked until the end of the Period of Delivery.  At that time, to the extent the total variation was positive (i.e., resulted in lower price to Buyer), Seller shall have the right but not the obligation to renew the contract for a subsequent year.  To the extent there were no savings generated or if losses were generated, Buyer shall have the unilateral right to terminate the Agreement.</w:t>
      </w:r>
    </w:p>
    <w:p>
      <w:pPr>
        <w:pStyle w:val="BodyTextIndent3"/>
        <w:jc w:val="both"/>
        <w:rPr>
          <w:i w:val="false"/>
          <w:i w:val="false"/>
          <w:sz w:val="20"/>
        </w:rPr>
      </w:pPr>
      <w:r>
        <w:rPr>
          <w:i w:val="false"/>
          <w:sz w:val="20"/>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/mnt/main-storage/datasets/enron-docs/doc/2001_020crfm-eaf46de897fa6fcd3399048c94734a0bf4b4f5da409165bc148b0098890e99fa.doc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/mnt/main-storage/datasets/enron-docs/doc/2001_020crfm-eaf46de897fa6fcd3399048c94734a0bf4b4f5da409165bc148b0098890e99fa.doc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February 20,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00171843"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3"/>
      <w:numFmt w:val="decimal"/>
      <w:lvlText w:val="%1."/>
      <w:lvlJc w:val="start"/>
      <w:pPr>
        <w:tabs>
          <w:tab w:val="num" w:pos="1800"/>
        </w:tabs>
        <w:ind w:start="1800" w:hanging="360"/>
      </w:pPr>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2001-02-16T17:31:00Z</dcterms:created>
  <dc:creator>ECT</dc:creator>
  <dc:description/>
  <dc:language>en-CA</dc:language>
  <cp:lastModifiedBy>dhyvl</cp:lastModifiedBy>
  <cp:lastPrinted>2001-02-16T14:11:00Z</cp:lastPrinted>
  <dcterms:modified xsi:type="dcterms:W3CDTF">2001-02-20T12:01:00Z</dcterms:modified>
  <cp:revision>7</cp:revision>
  <dc:subject/>
  <dc:title>Services Agreement</dc:title>
</cp:coreProperties>
</file>