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t>February 16,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Smurfit Stone Container Corporation</w:t>
      </w:r>
    </w:p>
    <w:p>
      <w:pPr>
        <w:pStyle w:val="Normal"/>
        <w:jc w:val="both"/>
        <w:rPr>
          <w:rFonts w:ascii="Times New Roman" w:hAnsi="Times New Roman" w:cs="Times New Roman"/>
          <w:sz w:val="22"/>
        </w:rPr>
      </w:pPr>
      <w:r>
        <w:rPr>
          <w:rFonts w:cs="Times New Roman" w:ascii="Times New Roman" w:hAnsi="Times New Roman"/>
          <w:sz w:val="22"/>
        </w:rPr>
        <w:t>Container Board Mill Division</w:t>
      </w:r>
    </w:p>
    <w:p>
      <w:pPr>
        <w:pStyle w:val="Normal"/>
        <w:jc w:val="both"/>
        <w:rPr/>
      </w:pPr>
      <w:r>
        <w:rPr>
          <w:rFonts w:cs="Times New Roman" w:ascii="Times New Roman" w:hAnsi="Times New Roman"/>
          <w:sz w:val="22"/>
        </w:rPr>
        <w:t>2001 East 57</w:t>
      </w:r>
      <w:r>
        <w:rPr>
          <w:rFonts w:cs="Times New Roman" w:ascii="Times New Roman" w:hAnsi="Times New Roman"/>
          <w:sz w:val="22"/>
          <w:vertAlign w:val="superscript"/>
        </w:rPr>
        <w:t>th</w:t>
      </w:r>
      <w:r>
        <w:rPr>
          <w:rFonts w:cs="Times New Roman" w:ascii="Times New Roman" w:hAnsi="Times New Roman"/>
          <w:sz w:val="22"/>
        </w:rPr>
        <w:t xml:space="preserve"> Street</w:t>
      </w:r>
    </w:p>
    <w:p>
      <w:pPr>
        <w:pStyle w:val="Normal"/>
        <w:jc w:val="both"/>
        <w:rPr>
          <w:rFonts w:ascii="Times New Roman" w:hAnsi="Times New Roman" w:cs="Times New Roman"/>
          <w:sz w:val="22"/>
        </w:rPr>
      </w:pPr>
      <w:r>
        <w:rPr>
          <w:rFonts w:cs="Times New Roman" w:ascii="Times New Roman" w:hAnsi="Times New Roman"/>
          <w:sz w:val="22"/>
        </w:rPr>
        <w:t>P. O. Box 58832</w:t>
      </w:r>
    </w:p>
    <w:p>
      <w:pPr>
        <w:pStyle w:val="Normal"/>
        <w:jc w:val="both"/>
        <w:rPr>
          <w:rFonts w:ascii="Times New Roman" w:hAnsi="Times New Roman" w:cs="Times New Roman"/>
          <w:sz w:val="22"/>
        </w:rPr>
      </w:pPr>
      <w:r>
        <w:rPr>
          <w:rFonts w:cs="Times New Roman" w:ascii="Times New Roman" w:hAnsi="Times New Roman"/>
          <w:sz w:val="22"/>
        </w:rPr>
        <w:t>Vernon, CA 90058</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Attn:</w:t>
        <w:tab/>
        <w:t>John Ewing</w:t>
      </w:r>
    </w:p>
    <w:p>
      <w:pPr>
        <w:pStyle w:val="Normal"/>
        <w:jc w:val="both"/>
        <w:rPr>
          <w:rFonts w:ascii="Times New Roman" w:hAnsi="Times New Roman" w:cs="Times New Roman"/>
          <w:sz w:val="22"/>
        </w:rPr>
      </w:pPr>
      <w:r>
        <w:rPr>
          <w:rFonts w:cs="Times New Roman" w:ascii="Times New Roman" w:hAnsi="Times New Roman"/>
          <w:sz w:val="22"/>
        </w:rPr>
        <w:tab/>
        <w:t>Controller</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Earl Dunsmoor Jr.</w:t>
      </w:r>
    </w:p>
    <w:p>
      <w:pPr>
        <w:pStyle w:val="Normal"/>
        <w:ind w:firstLine="720" w:end="0"/>
        <w:jc w:val="both"/>
        <w:rPr>
          <w:rFonts w:ascii="Times New Roman" w:hAnsi="Times New Roman" w:cs="Times New Roman"/>
          <w:sz w:val="22"/>
        </w:rPr>
      </w:pPr>
      <w:r>
        <w:rPr>
          <w:rFonts w:cs="Times New Roman" w:ascii="Times New Roman" w:hAnsi="Times New Roman"/>
          <w:sz w:val="22"/>
        </w:rPr>
        <w:t>Vice President &amp; General Manager</w:t>
      </w:r>
    </w:p>
    <w:p>
      <w:pPr>
        <w:pStyle w:val="Normal"/>
        <w:rPr>
          <w:rFonts w:ascii="Times New Roman" w:hAnsi="Times New Roman" w:cs="Times New Roman"/>
          <w:sz w:val="20"/>
        </w:rPr>
      </w:pPr>
      <w:r>
        <w:rPr>
          <w:rFonts w:cs="Times New Roman" w:ascii="Times New Roman" w:hAnsi="Times New Roman"/>
          <w:sz w:val="20"/>
        </w:rPr>
      </w:r>
    </w:p>
    <w:p>
      <w:pPr>
        <w:pStyle w:val="BodyTextIndent3"/>
        <w:ind w:start="0" w:end="0"/>
        <w:rPr>
          <w:rFonts w:ascii="Times New Roman" w:hAnsi="Times New Roman" w:cs="Times New Roman"/>
          <w:b/>
          <w:i w:val="false"/>
          <w:i w:val="false"/>
          <w:sz w:val="20"/>
        </w:rPr>
      </w:pPr>
      <w:r>
        <w:rPr>
          <w:rFonts w:cs="Times New Roman"/>
          <w:b/>
          <w:i w:val="false"/>
          <w:sz w:val="20"/>
        </w:rPr>
      </w:r>
    </w:p>
    <w:p>
      <w:pPr>
        <w:pStyle w:val="BodyText2"/>
        <w:jc w:val="center"/>
        <w:rPr>
          <w:b/>
        </w:rPr>
      </w:pPr>
      <w:r>
        <w:rPr>
          <w:b/>
        </w:rPr>
        <w:t>ENFOLIO® FIRM CONFIRMATION -- ENFOLIO® FIRM GENERAL TERMS &amp; CONDITIONS GOVERN</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pPr>
      <w:r>
        <w:rPr>
          <w:rFonts w:cs="Times New Roman" w:ascii="Times New Roman" w:hAnsi="Times New Roman"/>
          <w:sz w:val="20"/>
        </w:rPr>
        <w:t>This Confirmation shall form and effectuate the Agreement between Smurfit Stone Container Corporation ("</w:t>
      </w:r>
      <w:r>
        <w:rPr>
          <w:rFonts w:cs="Times New Roman" w:ascii="Times New Roman" w:hAnsi="Times New Roman"/>
          <w:sz w:val="20"/>
          <w:u w:val="single"/>
        </w:rPr>
        <w:t>Customer</w:t>
      </w:r>
      <w:r>
        <w:rPr>
          <w:rFonts w:cs="Times New Roman" w:ascii="Times New Roman" w:hAnsi="Times New Roman"/>
          <w:sz w:val="20"/>
        </w:rPr>
        <w:t>" or "</w:t>
      </w:r>
      <w:r>
        <w:rPr>
          <w:rFonts w:cs="Times New Roman" w:ascii="Times New Roman" w:hAnsi="Times New Roman"/>
          <w:sz w:val="20"/>
          <w:u w:val="single"/>
        </w:rPr>
        <w:t>Buyer</w:t>
      </w:r>
      <w:r>
        <w:rPr>
          <w:rFonts w:cs="Times New Roman" w:ascii="Times New Roman" w:hAnsi="Times New Roman"/>
          <w:sz w:val="20"/>
        </w:rPr>
        <w:t>") and Enron North America Corp. ("</w:t>
      </w:r>
      <w:r>
        <w:rPr>
          <w:rFonts w:cs="Times New Roman" w:ascii="Times New Roman" w:hAnsi="Times New Roman"/>
          <w:sz w:val="20"/>
          <w:u w:val="single"/>
        </w:rPr>
        <w:t>Company"</w:t>
      </w:r>
      <w:r>
        <w:rPr>
          <w:rFonts w:cs="Times New Roman" w:ascii="Times New Roman" w:hAnsi="Times New Roman"/>
          <w:sz w:val="20"/>
        </w:rPr>
        <w:t xml:space="preserve"> or "</w:t>
      </w:r>
      <w:r>
        <w:rPr>
          <w:rFonts w:cs="Times New Roman" w:ascii="Times New Roman" w:hAnsi="Times New Roman"/>
          <w:sz w:val="20"/>
          <w:u w:val="single"/>
        </w:rPr>
        <w:t>Seller</w:t>
      </w:r>
      <w:r>
        <w:rPr/>
        <w:t>") regarding the firm purchase and sale of Gas under the following terms and conditions.  Customer to purchase and receive and Company to sell and deliver.</w:t>
      </w:r>
    </w:p>
    <w:tbl>
      <w:tblPr>
        <w:tblW w:w="9468" w:type="dxa"/>
        <w:jc w:val="start"/>
        <w:tblInd w:w="0" w:type="dxa"/>
        <w:tblLayout w:type="fixed"/>
        <w:tblCellMar>
          <w:top w:w="0" w:type="dxa"/>
          <w:start w:w="108" w:type="dxa"/>
          <w:bottom w:w="0" w:type="dxa"/>
          <w:end w:w="108" w:type="dxa"/>
        </w:tblCellMar>
      </w:tblPr>
      <w:tblGrid>
        <w:gridCol w:w="9468"/>
      </w:tblGrid>
      <w:tr>
        <w:trPr>
          <w:trHeight w:val="225" w:hRule="atLeast"/>
        </w:trPr>
        <w:tc>
          <w:tcPr>
            <w:tcW w:w="9468" w:type="dxa"/>
            <w:tcBorders/>
          </w:tcPr>
          <w:p>
            <w:pPr>
              <w:pStyle w:val="BodyTextIndent"/>
              <w:snapToGrid w:val="false"/>
              <w:ind w:start="0" w:end="0"/>
              <w:rPr/>
            </w:pPr>
            <w:r>
              <w:rPr/>
            </w:r>
          </w:p>
        </w:tc>
      </w:tr>
    </w:tbl>
    <w:p>
      <w:pPr>
        <w:pStyle w:val="BodyText"/>
        <w:ind w:hanging="360" w:start="360" w:end="0"/>
        <w:rPr/>
      </w:pPr>
      <w:r>
        <w:rPr/>
        <w:t>Period of Delivery:</w:t>
        <w:tab/>
      </w:r>
      <w:r>
        <w:rPr>
          <w:b w:val="false"/>
        </w:rPr>
        <w:t>March 1 2001 through March 31, 2001.</w:t>
      </w:r>
    </w:p>
    <w:p>
      <w:pPr>
        <w:pStyle w:val="BodyText"/>
        <w:ind w:hanging="360" w:start="360" w:end="0"/>
        <w:rPr>
          <w:b w:val="false"/>
          <w:i/>
          <w:i/>
        </w:rPr>
      </w:pPr>
      <w:r>
        <w:rPr>
          <w:b w:val="false"/>
          <w:i/>
        </w:rPr>
      </w:r>
    </w:p>
    <w:p>
      <w:pPr>
        <w:pStyle w:val="BodyTextIndent3"/>
        <w:ind w:hanging="1440" w:end="0"/>
        <w:jc w:val="both"/>
        <w:rPr/>
      </w:pPr>
      <w:r>
        <w:rPr>
          <w:b/>
          <w:i w:val="false"/>
          <w:sz w:val="20"/>
        </w:rPr>
        <w:t>Delivery Point:</w:t>
        <w:tab/>
      </w:r>
      <w:r>
        <w:rPr>
          <w:i w:val="false"/>
          <w:sz w:val="20"/>
        </w:rPr>
        <w:t xml:space="preserve">The Delivery Point for Gas shall be the interconnection between the Southern California Gas Company (SoCalGas) system and any of the following pipelines: El Paso, Transwestern, Pacific Gas &amp; Electric (PG&amp;E), Kern River and/or California produced supply or SoCalGas storage.  </w:t>
      </w:r>
    </w:p>
    <w:p>
      <w:pPr>
        <w:pStyle w:val="BodyTextIndent3"/>
        <w:ind w:start="0" w:end="0"/>
        <w:rPr>
          <w:b/>
          <w:i w:val="false"/>
          <w:i w:val="false"/>
          <w:sz w:val="20"/>
        </w:rPr>
      </w:pPr>
      <w:r>
        <w:rPr>
          <w:b/>
          <w:i w:val="false"/>
          <w:sz w:val="20"/>
        </w:rPr>
      </w:r>
    </w:p>
    <w:p>
      <w:pPr>
        <w:pStyle w:val="BodyTextIndent3"/>
        <w:tabs>
          <w:tab w:val="clear" w:pos="720"/>
          <w:tab w:val="left" w:pos="1440" w:leader="none"/>
        </w:tabs>
        <w:ind w:hanging="1800" w:start="1800" w:end="0"/>
        <w:jc w:val="both"/>
        <w:rPr/>
      </w:pPr>
      <w:r>
        <w:rPr>
          <w:b/>
          <w:i w:val="false"/>
          <w:sz w:val="20"/>
        </w:rPr>
        <w:t>Quantity:</w:t>
        <w:tab/>
      </w:r>
      <w:r>
        <w:rPr>
          <w:i w:val="false"/>
          <w:sz w:val="20"/>
        </w:rPr>
        <w:t>1.</w:t>
      </w:r>
      <w:r>
        <w:rPr>
          <w:b/>
          <w:i w:val="false"/>
          <w:sz w:val="20"/>
        </w:rPr>
        <w:tab/>
      </w:r>
      <w:r>
        <w:rPr>
          <w:i w:val="false"/>
          <w:sz w:val="20"/>
        </w:rPr>
        <w:t>Seller shall be Buyer’s Authorized Marketer as defined by the tariffs of SoCalGas.  As Buyer’s Authorized Marketer, Seller shall pay any Imbalance Charges or penalties resulting from failure to balance Buyer’s usage and Seller’s deliveries, subject to other provisions indicated below.</w:t>
      </w:r>
    </w:p>
    <w:p>
      <w:pPr>
        <w:pStyle w:val="BodyTextIndent3"/>
        <w:numPr>
          <w:ilvl w:val="0"/>
          <w:numId w:val="6"/>
        </w:numPr>
        <w:tabs>
          <w:tab w:val="clear" w:pos="720"/>
          <w:tab w:val="left" w:pos="1440" w:leader="none"/>
        </w:tabs>
        <w:jc w:val="both"/>
        <w:rPr>
          <w:i w:val="false"/>
          <w:i w:val="false"/>
          <w:sz w:val="20"/>
        </w:rPr>
      </w:pPr>
      <w:r>
        <w:rPr>
          <w:i w:val="false"/>
          <w:sz w:val="20"/>
        </w:rPr>
        <w:t>Buyer shall pay for the amount of gas transported by Buyer on the Southern California Gas Company (SoCalGas) system as documented by Buyer’s SoCalGas transportation invoice.</w:t>
      </w:r>
    </w:p>
    <w:p>
      <w:pPr>
        <w:pStyle w:val="BodyTextIndent3"/>
        <w:numPr>
          <w:ilvl w:val="0"/>
          <w:numId w:val="6"/>
        </w:numPr>
        <w:tabs>
          <w:tab w:val="clear" w:pos="720"/>
          <w:tab w:val="left" w:pos="1440" w:leader="none"/>
        </w:tabs>
        <w:jc w:val="both"/>
        <w:rPr>
          <w:i w:val="false"/>
          <w:i w:val="false"/>
          <w:sz w:val="20"/>
        </w:rPr>
      </w:pPr>
      <w:r>
        <w:rPr>
          <w:i w:val="false"/>
          <w:sz w:val="20"/>
        </w:rPr>
        <w:t>Buyer will notify Seller five business days before the beginning of the month with its best estimate of its daily demand for the next month, this estimate will be known as the Baseload Demand Quantity (BDQ), but in no event shall such BDQ exceed 15,000 MMBtu of Gas per day.  With written notice, this daily limit may be increased as box plants are added to Smurfit Stone’s Containerboard Mill operation.</w:t>
      </w:r>
    </w:p>
    <w:p>
      <w:pPr>
        <w:pStyle w:val="BodyTextIndent3"/>
        <w:numPr>
          <w:ilvl w:val="0"/>
          <w:numId w:val="6"/>
        </w:numPr>
        <w:tabs>
          <w:tab w:val="clear" w:pos="720"/>
          <w:tab w:val="left" w:pos="1440" w:leader="none"/>
        </w:tabs>
        <w:jc w:val="both"/>
        <w:rPr>
          <w:i w:val="false"/>
          <w:i w:val="false"/>
          <w:sz w:val="20"/>
        </w:rPr>
      </w:pPr>
      <w:r>
        <w:rPr>
          <w:i w:val="false"/>
          <w:sz w:val="20"/>
        </w:rPr>
        <w:t xml:space="preserve">The annual quantity of gas usage is estimated to be 3.1 million decatherms, which is an average of 258 thousand decatherms per month.  </w:t>
      </w:r>
    </w:p>
    <w:p>
      <w:pPr>
        <w:pStyle w:val="BodyTextIndent3"/>
        <w:numPr>
          <w:ilvl w:val="0"/>
          <w:numId w:val="3"/>
        </w:numPr>
        <w:tabs>
          <w:tab w:val="clear" w:pos="720"/>
          <w:tab w:val="left" w:pos="1440" w:leader="none"/>
        </w:tabs>
        <w:jc w:val="both"/>
        <w:rPr>
          <w:i w:val="false"/>
          <w:i w:val="false"/>
          <w:sz w:val="20"/>
        </w:rPr>
      </w:pPr>
      <w:r>
        <w:rPr>
          <w:i w:val="false"/>
          <w:sz w:val="20"/>
        </w:rPr>
        <w:t>In the event Buyer’s usage deviates by more than twenty percent (20%) from the BDQ on any Day, such excess deviation shall result in a Buyer’s Default, however, Buyer may reduce this gas demand to 40% of its average demand during the Natural Gas Market’s winter months (November to March) and the month of April.  In the event of a Buyer’s Default, the Buyer’s Default Quantity shall be equal to the difference between the Buyer’s estimated daily BDQ or, if estimated BDQ was not given, the previous months-average daily usage and the Buyer’s actual daily usage on the Day such Buyer’s Default occurred.</w:t>
      </w:r>
    </w:p>
    <w:p>
      <w:pPr>
        <w:pStyle w:val="BodyTextIndent3"/>
        <w:numPr>
          <w:ilvl w:val="0"/>
          <w:numId w:val="3"/>
        </w:numPr>
        <w:tabs>
          <w:tab w:val="clear" w:pos="720"/>
          <w:tab w:val="left" w:pos="1440" w:leader="none"/>
        </w:tabs>
        <w:jc w:val="both"/>
        <w:rPr>
          <w:i w:val="false"/>
          <w:i w:val="false"/>
          <w:sz w:val="20"/>
        </w:rPr>
      </w:pPr>
      <w:r>
        <w:rPr>
          <w:i w:val="false"/>
          <w:sz w:val="20"/>
        </w:rPr>
        <w:t>Buyer will notify Seller seven business days before the beginning of the month with its intention to reduce its gas demand.  In such event the BDQ shall be adjusted to equal the quantity contained in Buyer’s notice for such reduction period.</w:t>
      </w:r>
    </w:p>
    <w:p>
      <w:pPr>
        <w:pStyle w:val="BodyTextIndent3"/>
        <w:numPr>
          <w:ilvl w:val="0"/>
          <w:numId w:val="3"/>
        </w:numPr>
        <w:tabs>
          <w:tab w:val="clear" w:pos="720"/>
          <w:tab w:val="left" w:pos="1440" w:leader="none"/>
        </w:tabs>
        <w:jc w:val="both"/>
        <w:rPr>
          <w:i w:val="false"/>
          <w:i w:val="false"/>
          <w:sz w:val="20"/>
        </w:rPr>
      </w:pPr>
      <w:r>
        <w:rPr>
          <w:i w:val="false"/>
          <w:sz w:val="20"/>
        </w:rPr>
        <w:t>Notification shall be by telephone call on Seller’s recorded line noting the date and time of such call.</w:t>
      </w:r>
    </w:p>
    <w:p>
      <w:pPr>
        <w:pStyle w:val="BodyTextIndent3"/>
        <w:numPr>
          <w:ilvl w:val="0"/>
          <w:numId w:val="3"/>
        </w:numPr>
        <w:tabs>
          <w:tab w:val="clear" w:pos="720"/>
          <w:tab w:val="left" w:pos="1440" w:leader="none"/>
        </w:tabs>
        <w:jc w:val="both"/>
        <w:rPr>
          <w:i w:val="false"/>
          <w:i w:val="false"/>
          <w:sz w:val="20"/>
        </w:rPr>
      </w:pPr>
      <w:r>
        <w:rPr>
          <w:i w:val="false"/>
          <w:sz w:val="20"/>
        </w:rPr>
        <w:t xml:space="preserve">In the event of a Default Quantity, Buyer shall pay to Seller an amount equal to the sum of the product of the Default Quantity multiplied by the positive difference, if any, obtained by subtracting the Spot Price for the day in which the Default Quantity occurred from the Contract Price.  The Spot Price shall be the daily price as quoted in Financial Times Energy’s </w:t>
      </w:r>
      <w:r>
        <w:rPr>
          <w:i w:val="false"/>
          <w:sz w:val="20"/>
          <w:u w:val="single"/>
        </w:rPr>
        <w:t>Gas Daily</w:t>
      </w:r>
      <w:r>
        <w:rPr>
          <w:i w:val="false"/>
          <w:sz w:val="20"/>
        </w:rPr>
        <w:t xml:space="preserve"> in the “Daily Price Survey” under the heading “Others,” titled “SoCal gas, large pkgs.” Mid-point column. </w:t>
      </w:r>
      <w:r>
        <w:rPr>
          <w:b/>
          <w:i w:val="false"/>
          <w:sz w:val="20"/>
        </w:rPr>
        <w:t>Note</w:t>
      </w:r>
      <w:r>
        <w:rPr>
          <w:i w:val="false"/>
          <w:sz w:val="20"/>
        </w:rPr>
        <w:t>: the Monday price quote is for Saturday, Sunday, and Monday.</w:t>
      </w:r>
    </w:p>
    <w:p>
      <w:pPr>
        <w:pStyle w:val="BodyTextIndent3"/>
        <w:tabs>
          <w:tab w:val="clear" w:pos="720"/>
          <w:tab w:val="left" w:pos="1440" w:leader="none"/>
        </w:tabs>
        <w:jc w:val="both"/>
        <w:rPr>
          <w:i w:val="false"/>
          <w:i w:val="false"/>
          <w:sz w:val="20"/>
        </w:rPr>
      </w:pPr>
      <w:r>
        <w:rPr>
          <w:i w:val="false"/>
          <w:sz w:val="20"/>
        </w:rPr>
        <w:t>5.    OFO Management</w:t>
      </w:r>
    </w:p>
    <w:p>
      <w:pPr>
        <w:pStyle w:val="BodyTextIndent3"/>
        <w:numPr>
          <w:ilvl w:val="0"/>
          <w:numId w:val="7"/>
        </w:numPr>
        <w:jc w:val="both"/>
        <w:rPr>
          <w:i w:val="false"/>
          <w:i w:val="false"/>
          <w:sz w:val="20"/>
        </w:rPr>
      </w:pPr>
      <w:r>
        <w:rPr>
          <w:i w:val="false"/>
          <w:sz w:val="20"/>
        </w:rPr>
        <w:t xml:space="preserve">Seller shall be responsible for notifying Buyer in the event of a SoCalGas Operational Flow Order (OFO) requiring that daily gas deliveries and usage equal each other within the tolerance permitted by SoCalGas.  </w:t>
      </w:r>
    </w:p>
    <w:p>
      <w:pPr>
        <w:pStyle w:val="BodyTextIndent3"/>
        <w:numPr>
          <w:ilvl w:val="0"/>
          <w:numId w:val="7"/>
        </w:numPr>
        <w:jc w:val="both"/>
        <w:rPr>
          <w:i w:val="false"/>
          <w:i w:val="false"/>
          <w:sz w:val="20"/>
        </w:rPr>
      </w:pPr>
      <w:r>
        <w:rPr>
          <w:i w:val="false"/>
          <w:sz w:val="20"/>
        </w:rPr>
        <w:t>Buyer shall assign an individual at Buyer’s Vernon mill that Seller can contact 24-hours/day to manage OFO events.</w:t>
      </w:r>
    </w:p>
    <w:p>
      <w:pPr>
        <w:pStyle w:val="BodyTextIndent3"/>
        <w:numPr>
          <w:ilvl w:val="0"/>
          <w:numId w:val="7"/>
        </w:numPr>
        <w:jc w:val="both"/>
        <w:rPr>
          <w:i w:val="false"/>
          <w:i w:val="false"/>
          <w:sz w:val="20"/>
        </w:rPr>
      </w:pPr>
      <w:r>
        <w:rPr>
          <w:i w:val="false"/>
          <w:sz w:val="20"/>
        </w:rPr>
        <w:t xml:space="preserve">Notification shall be by telephone call on Seller’s recorded line noting the date and time of such call.  </w:t>
      </w:r>
    </w:p>
    <w:p>
      <w:pPr>
        <w:pStyle w:val="BodyTextIndent3"/>
        <w:numPr>
          <w:ilvl w:val="0"/>
          <w:numId w:val="7"/>
        </w:numPr>
        <w:jc w:val="both"/>
        <w:rPr>
          <w:i w:val="false"/>
          <w:i w:val="false"/>
          <w:sz w:val="20"/>
        </w:rPr>
      </w:pPr>
      <w:r>
        <w:rPr>
          <w:i w:val="false"/>
          <w:sz w:val="20"/>
        </w:rPr>
        <w:t>At the time of such notification, Buyer’s representative shall set the OFO Daily Contact Quantity (OFO DCQ).</w:t>
      </w:r>
    </w:p>
    <w:p>
      <w:pPr>
        <w:pStyle w:val="BodyTextIndent3"/>
        <w:numPr>
          <w:ilvl w:val="0"/>
          <w:numId w:val="7"/>
        </w:numPr>
        <w:jc w:val="both"/>
        <w:rPr>
          <w:i w:val="false"/>
          <w:i w:val="false"/>
          <w:sz w:val="20"/>
        </w:rPr>
      </w:pPr>
      <w:r>
        <w:rPr>
          <w:i w:val="false"/>
          <w:sz w:val="20"/>
        </w:rPr>
        <w:t xml:space="preserve">If Seller does not notify Buyer of an OFO event, and Seller incurs penalties as a result of Seller delivering a quantity that differs from Buyer’s usage, such penalties shall be the financial responsibility of Seller.  </w:t>
      </w:r>
    </w:p>
    <w:p>
      <w:pPr>
        <w:pStyle w:val="BodyTextIndent3"/>
        <w:numPr>
          <w:ilvl w:val="0"/>
          <w:numId w:val="7"/>
        </w:numPr>
        <w:jc w:val="both"/>
        <w:rPr>
          <w:i w:val="false"/>
          <w:i w:val="false"/>
          <w:sz w:val="20"/>
        </w:rPr>
      </w:pPr>
      <w:r>
        <w:rPr>
          <w:i w:val="false"/>
          <w:sz w:val="20"/>
        </w:rPr>
        <w:t xml:space="preserve">If the Buyer does not take receipt of the OFO DCQ, any resulting penalties incurred by Seller in its attempt to deliver the OFO DCQ shall be the financial responsibility of the Buyer. </w:t>
      </w:r>
    </w:p>
    <w:p>
      <w:pPr>
        <w:pStyle w:val="BodyTextIndent3"/>
        <w:numPr>
          <w:ilvl w:val="0"/>
          <w:numId w:val="7"/>
        </w:numPr>
        <w:jc w:val="both"/>
        <w:rPr>
          <w:i w:val="false"/>
          <w:i w:val="false"/>
          <w:sz w:val="20"/>
        </w:rPr>
      </w:pPr>
      <w:r>
        <w:rPr>
          <w:i w:val="false"/>
          <w:sz w:val="20"/>
        </w:rPr>
        <w:t>If the Seller does not deliver the appropriate OFO DCQ, any penalties incurred by Seller as a result of its failure to deliver the OFO DCQ shall be the responsibility of Seller.</w:t>
      </w:r>
    </w:p>
    <w:p>
      <w:pPr>
        <w:pStyle w:val="BodyTextIndent3"/>
        <w:numPr>
          <w:ilvl w:val="0"/>
          <w:numId w:val="7"/>
        </w:numPr>
        <w:jc w:val="both"/>
        <w:rPr>
          <w:i w:val="false"/>
          <w:i w:val="false"/>
          <w:sz w:val="20"/>
        </w:rPr>
      </w:pPr>
      <w:r>
        <w:rPr>
          <w:i w:val="false"/>
          <w:sz w:val="20"/>
        </w:rPr>
        <w:t>If Seller cannot contact Buyer’s representative to set the OFO DCQ, Seller shall unilaterally set the OFO DCQ and notify the Buyer of such gas quantity by leaving a telephone message with Buyer.  Buyer shall be financially responsible for any penalties assessed Seller as a result of Seller delivering a quantity that differs from such OFO DCQ.</w:t>
      </w:r>
    </w:p>
    <w:p>
      <w:pPr>
        <w:pStyle w:val="BodyTextIndent3"/>
        <w:numPr>
          <w:ilvl w:val="0"/>
          <w:numId w:val="2"/>
        </w:numPr>
        <w:jc w:val="both"/>
        <w:rPr>
          <w:i w:val="false"/>
          <w:i w:val="false"/>
          <w:sz w:val="20"/>
        </w:rPr>
      </w:pPr>
      <w:r>
        <w:rPr>
          <w:i w:val="false"/>
          <w:sz w:val="20"/>
        </w:rPr>
        <w:t xml:space="preserve">Buyer will notify Seller in the event of a planned or unplanned outage.  If such notification is not provided in more than 3 instances, Seller has the right to terminate the Agreement upon thirty (30) days prior written notice to Buyer. </w:t>
      </w:r>
    </w:p>
    <w:p>
      <w:pPr>
        <w:pStyle w:val="BodyTextIndent3"/>
        <w:rPr>
          <w:i w:val="false"/>
          <w:i w:val="false"/>
          <w:sz w:val="20"/>
        </w:rPr>
      </w:pPr>
      <w:r>
        <w:rPr>
          <w:i w:val="false"/>
          <w:sz w:val="20"/>
        </w:rPr>
      </w:r>
    </w:p>
    <w:p>
      <w:pPr>
        <w:pStyle w:val="BodyTextIndent3"/>
        <w:tabs>
          <w:tab w:val="clear" w:pos="720"/>
          <w:tab w:val="left" w:pos="1440" w:leader="none"/>
          <w:tab w:val="left" w:pos="1800" w:leader="none"/>
        </w:tabs>
        <w:ind w:hanging="1800" w:start="1800" w:end="0"/>
        <w:jc w:val="both"/>
        <w:rPr/>
      </w:pPr>
      <w:r>
        <w:rPr>
          <w:b/>
          <w:i w:val="false"/>
          <w:sz w:val="20"/>
        </w:rPr>
        <w:t>Price:</w:t>
        <w:tab/>
      </w:r>
      <w:r>
        <w:rPr>
          <w:i w:val="false"/>
          <w:sz w:val="20"/>
        </w:rPr>
        <w:t>1.</w:t>
        <w:tab/>
        <w:t xml:space="preserve">The Contract Price for the BDQ scheduled prior to the month shall be the price per MMBtu published in </w:t>
      </w:r>
      <w:r>
        <w:rPr>
          <w:i w:val="false"/>
          <w:sz w:val="20"/>
          <w:u w:val="single"/>
        </w:rPr>
        <w:t>Natural Gas Intelligence</w:t>
      </w:r>
      <w:r>
        <w:rPr>
          <w:i w:val="false"/>
          <w:sz w:val="20"/>
        </w:rPr>
        <w:t xml:space="preserve"> Gas Price Index, first issue of the delivery month, in the table titled "California Border," on the line titled Southern California Border, plus ten cents ($0.10 per MMBtu.</w:t>
      </w:r>
    </w:p>
    <w:p>
      <w:pPr>
        <w:pStyle w:val="BodyTextIndent3"/>
        <w:tabs>
          <w:tab w:val="clear" w:pos="720"/>
          <w:tab w:val="left" w:pos="1440" w:leader="none"/>
          <w:tab w:val="left" w:pos="1800" w:leader="none"/>
        </w:tabs>
        <w:ind w:hanging="1800" w:start="1800" w:end="0"/>
        <w:jc w:val="both"/>
        <w:rPr/>
      </w:pPr>
      <w:r>
        <w:rPr>
          <w:b/>
          <w:i w:val="false"/>
          <w:sz w:val="20"/>
        </w:rPr>
        <w:tab/>
      </w:r>
      <w:r>
        <w:rPr>
          <w:i w:val="false"/>
          <w:sz w:val="20"/>
        </w:rPr>
        <w:t>2.</w:t>
        <w:tab/>
        <w:t>If Seller delivers Gas from the PG&amp;E and/or Kern River Pipelines, Seller shall pay Buyer the difference between the Compressor Surcharge (SoCalGas schedule G-ITC ICMA Surcharge) and the Zone Rate Credit (Schedule G-ITCZ Zone Rate Credit) as defined by the tariffs of SoCalGas.</w:t>
      </w:r>
    </w:p>
    <w:p>
      <w:pPr>
        <w:pStyle w:val="BodyTextIndent3"/>
        <w:numPr>
          <w:ilvl w:val="0"/>
          <w:numId w:val="5"/>
        </w:numPr>
        <w:tabs>
          <w:tab w:val="clear" w:pos="720"/>
          <w:tab w:val="left" w:pos="1440" w:leader="none"/>
        </w:tabs>
        <w:jc w:val="both"/>
        <w:rPr>
          <w:i w:val="false"/>
          <w:i w:val="false"/>
          <w:sz w:val="20"/>
        </w:rPr>
      </w:pPr>
      <w:r>
        <w:rPr>
          <w:i w:val="false"/>
          <w:sz w:val="20"/>
        </w:rPr>
        <w:t>Fixed Price Strategies.  From time to time, Seller shall present Buyer with pricing alternatives such as fixed price strategies.  With respect to the alternatives presented by Seller, Buyer shall make the decision whether or not to implement any of the pricing alternatives.  In the event an alternative presented by Seller and chosen by Buyer results in price variations from the Contract Price, the variations will be documented.  Such variations shall be tracked until the end of the Period of Delivery.  At that time, to the extent the total variation was positive (i.e., resulted in lower price to Buyer), Seller shall have the right but not the obligation to renew the contract for a subsequent year.  To the extent there were no savings generated or if losses were generated, Buyer shall have the unilateral right to terminate the Agreement.</w:t>
      </w:r>
    </w:p>
    <w:p>
      <w:pPr>
        <w:pStyle w:val="BodyTextIndent3"/>
        <w:numPr>
          <w:ilvl w:val="0"/>
          <w:numId w:val="5"/>
        </w:numPr>
        <w:jc w:val="both"/>
        <w:rPr>
          <w:i w:val="false"/>
          <w:i w:val="false"/>
          <w:sz w:val="20"/>
        </w:rPr>
      </w:pPr>
      <w:r>
        <w:rPr>
          <w:i w:val="false"/>
          <w:sz w:val="20"/>
        </w:rPr>
        <w:t>Electricity Pricing Strategies: Buyer uses natural gas to generate electricity.  Seller is an active Scheduling Coordinator interested is assisting Buyer examine options for linking its gas price to the price of electricity.  As part of this agreement, Seller shall provide Buyer a monthly report indicating the current price under a formula that links the gas price to the California Power Exchange SP-15 Post Congested Market Clearing Price (SP-15 MCP).  The purpose of this exercise is to have a year of experience looking at the relationship between gas and power prices so that at the end of the year, Buyer will understand how these  two prices can be linked and how the relative value of these two commodities changes over a year.  In addition, to the extent that Buyer begins receiving the SP-15 MCP for its energy sales during the Period of Delivery, Seller shall have a right to request a price determination to provide gas/power price linkage. In the course of this redetermination, if Buyer can obtain a better price under such gas/power linkage from a party other than Seller, Seller shall have the right to match such price.  If Seller does not match such price, Buyer can terminate this Agreement upon thirty (30) days prior written notice to Seller.</w:t>
      </w:r>
    </w:p>
    <w:p>
      <w:pPr>
        <w:pStyle w:val="BodyTextIndent3"/>
        <w:jc w:val="both"/>
        <w:rPr>
          <w:i w:val="false"/>
          <w:i w:val="false"/>
          <w:sz w:val="20"/>
        </w:rPr>
      </w:pPr>
      <w:r>
        <w:rPr>
          <w:i w:val="false"/>
          <w:sz w:val="20"/>
        </w:rPr>
      </w:r>
    </w:p>
    <w:tbl>
      <w:tblPr>
        <w:tblW w:w="9468" w:type="dxa"/>
        <w:jc w:val="start"/>
        <w:tblInd w:w="0" w:type="dxa"/>
        <w:tblLayout w:type="fixed"/>
        <w:tblCellMar>
          <w:top w:w="0" w:type="dxa"/>
          <w:start w:w="108" w:type="dxa"/>
          <w:bottom w:w="0" w:type="dxa"/>
          <w:end w:w="108" w:type="dxa"/>
        </w:tblCellMar>
      </w:tblPr>
      <w:tblGrid>
        <w:gridCol w:w="9468"/>
      </w:tblGrid>
      <w:tr>
        <w:trPr/>
        <w:tc>
          <w:tcPr>
            <w:tcW w:w="9468" w:type="dxa"/>
            <w:tcBorders/>
          </w:tcPr>
          <w:p>
            <w:pPr>
              <w:pStyle w:val="BodyTextIndent"/>
              <w:snapToGrid w:val="false"/>
              <w:ind w:start="1800" w:end="0"/>
              <w:rPr/>
            </w:pPr>
            <w:r>
              <w:rPr/>
            </w:r>
          </w:p>
          <w:p>
            <w:pPr>
              <w:pStyle w:val="BodyTextIndent"/>
              <w:ind w:start="1800" w:end="0"/>
              <w:rPr>
                <w:b/>
              </w:rPr>
            </w:pPr>
            <w:r>
              <w:rPr>
                <w:b/>
              </w:rPr>
              <w:t>Notice and Communication to Company:</w:t>
            </w:r>
          </w:p>
          <w:p>
            <w:pPr>
              <w:pStyle w:val="BodyTextIndent"/>
              <w:ind w:start="1800" w:end="0"/>
              <w:rPr/>
            </w:pPr>
            <w:r>
              <w:rPr/>
              <w:t>Enron North America Corp.</w:t>
            </w:r>
          </w:p>
          <w:p>
            <w:pPr>
              <w:pStyle w:val="BodyTextIndent"/>
              <w:ind w:start="1800" w:end="0"/>
              <w:rPr/>
            </w:pPr>
            <w:r>
              <w:rPr/>
              <w:t>P.O. Box 4428</w:t>
            </w:r>
          </w:p>
          <w:p>
            <w:pPr>
              <w:pStyle w:val="BodyTextIndent"/>
              <w:ind w:start="1800" w:end="0"/>
              <w:rPr/>
            </w:pPr>
            <w:r>
              <w:rPr/>
              <w:t>Houston, TX  77210-4428</w:t>
            </w:r>
          </w:p>
          <w:p>
            <w:pPr>
              <w:pStyle w:val="BodyTextIndent"/>
              <w:ind w:start="1800" w:end="0"/>
              <w:rPr/>
            </w:pPr>
            <w:r>
              <w:rPr/>
              <w:t>Attn:  Confirmation / Documentation</w:t>
            </w:r>
          </w:p>
          <w:p>
            <w:pPr>
              <w:pStyle w:val="BodyTextIndent"/>
              <w:ind w:start="1800" w:end="0"/>
              <w:rPr/>
            </w:pPr>
            <w:r>
              <w:rPr/>
              <w:t>Facsimile No.  713-646-4816</w:t>
            </w:r>
          </w:p>
          <w:p>
            <w:pPr>
              <w:pStyle w:val="BodyTextIndent"/>
              <w:ind w:start="1800" w:end="0"/>
              <w:rPr/>
            </w:pPr>
            <w:r>
              <w:rPr/>
            </w:r>
          </w:p>
          <w:p>
            <w:pPr>
              <w:pStyle w:val="BodyTextIndent"/>
              <w:ind w:start="1800" w:end="0"/>
              <w:rPr>
                <w:b/>
              </w:rPr>
            </w:pPr>
            <w:r>
              <w:rPr>
                <w:b/>
              </w:rPr>
              <w:t>Billing, Invoices and Accounting Notices:</w:t>
            </w:r>
          </w:p>
          <w:p>
            <w:pPr>
              <w:pStyle w:val="BodyTextIndent"/>
              <w:ind w:start="1800" w:end="0"/>
              <w:rPr/>
            </w:pPr>
            <w:r>
              <w:rPr/>
              <w:t>Enron North America Corp.</w:t>
            </w:r>
          </w:p>
          <w:p>
            <w:pPr>
              <w:pStyle w:val="BodyTextIndent"/>
              <w:ind w:start="1800" w:end="0"/>
              <w:rPr/>
            </w:pPr>
            <w:r>
              <w:rPr/>
              <w:t>P.O. Box 4428</w:t>
            </w:r>
          </w:p>
          <w:p>
            <w:pPr>
              <w:pStyle w:val="BodyTextIndent"/>
              <w:ind w:start="1800" w:end="0"/>
              <w:rPr/>
            </w:pPr>
            <w:r>
              <w:rPr/>
              <w:t>Houston, TX  77210-4428</w:t>
            </w:r>
          </w:p>
          <w:p>
            <w:pPr>
              <w:pStyle w:val="BodyTextIndent"/>
              <w:ind w:start="1800" w:end="0"/>
              <w:rPr/>
            </w:pPr>
            <w:r>
              <w:rPr/>
              <w:t>Attn:  Contract Settlement</w:t>
            </w:r>
          </w:p>
          <w:p>
            <w:pPr>
              <w:pStyle w:val="BodyTextIndent"/>
              <w:ind w:start="1800" w:end="0"/>
              <w:rPr/>
            </w:pPr>
            <w:r>
              <w:rPr/>
              <w:t>Facsimile No.  713-646-8420</w:t>
            </w:r>
          </w:p>
          <w:p>
            <w:pPr>
              <w:pStyle w:val="BodyTextIndent"/>
              <w:ind w:start="1800" w:end="0"/>
              <w:rPr/>
            </w:pPr>
            <w:r>
              <w:rPr/>
            </w:r>
          </w:p>
        </w:tc>
      </w:tr>
      <w:tr>
        <w:trPr/>
        <w:tc>
          <w:tcPr>
            <w:tcW w:w="9468" w:type="dxa"/>
            <w:tcBorders/>
          </w:tcPr>
          <w:p>
            <w:pPr>
              <w:pStyle w:val="BodyTextIndent"/>
              <w:ind w:start="1800" w:end="0"/>
              <w:rPr>
                <w:b/>
              </w:rPr>
            </w:pPr>
            <w:r>
              <w:rPr>
                <w:b/>
              </w:rPr>
              <w:t>Payments to Company:</w:t>
            </w:r>
          </w:p>
          <w:p>
            <w:pPr>
              <w:pStyle w:val="BodyTextIndent"/>
              <w:ind w:start="1800" w:end="0"/>
              <w:rPr/>
            </w:pPr>
            <w:r>
              <w:rPr/>
              <w:t>Enron North America Corp.</w:t>
            </w:r>
          </w:p>
          <w:p>
            <w:pPr>
              <w:pStyle w:val="BodyTextIndent"/>
              <w:ind w:start="1800" w:end="0"/>
              <w:rPr/>
            </w:pPr>
            <w:r>
              <w:rPr/>
              <w:t xml:space="preserve">ABA Routing 111000012 Bank of America </w:t>
            </w:r>
          </w:p>
          <w:p>
            <w:pPr>
              <w:pStyle w:val="BodyTextIndent"/>
              <w:ind w:start="1800" w:end="0"/>
              <w:rPr/>
            </w:pPr>
            <w:r>
              <w:rPr/>
              <w:t>Account 3750494099</w:t>
            </w:r>
          </w:p>
          <w:p>
            <w:pPr>
              <w:pStyle w:val="BodyTextIndent"/>
              <w:ind w:start="1800" w:end="0"/>
              <w:rPr/>
            </w:pPr>
            <w:r>
              <w:rPr/>
            </w:r>
          </w:p>
          <w:p>
            <w:pPr>
              <w:pStyle w:val="BodyTextIndent"/>
              <w:ind w:start="1800" w:end="0"/>
              <w:rPr>
                <w:b/>
              </w:rPr>
            </w:pPr>
            <w:r>
              <w:rPr>
                <w:b/>
              </w:rPr>
              <w:t>Nominations to Company:</w:t>
            </w:r>
          </w:p>
          <w:p>
            <w:pPr>
              <w:pStyle w:val="BodyTextIndent"/>
              <w:ind w:start="1800" w:end="0"/>
              <w:rPr/>
            </w:pPr>
            <w:r>
              <w:rPr/>
              <w:t>1(800)356-9427/1(800)FLOWGAS</w:t>
            </w:r>
          </w:p>
          <w:p>
            <w:pPr>
              <w:pStyle w:val="BodyTextIndent"/>
              <w:ind w:start="1800" w:end="0"/>
              <w:rPr>
                <w:b/>
              </w:rPr>
            </w:pPr>
            <w:r>
              <w:rPr>
                <w:b/>
              </w:rPr>
              <w:t>Scheduling Confirmations to Company:</w:t>
            </w:r>
          </w:p>
          <w:p>
            <w:pPr>
              <w:pStyle w:val="BodyTextIndent"/>
              <w:ind w:start="1800" w:end="0"/>
              <w:rPr/>
            </w:pPr>
            <w:r>
              <w:rPr/>
              <w:t>Attn:  ENA Gas Trading</w:t>
            </w:r>
          </w:p>
          <w:p>
            <w:pPr>
              <w:pStyle w:val="BodyTextIndent"/>
              <w:ind w:start="1800" w:end="0"/>
              <w:rPr/>
            </w:pPr>
            <w:r>
              <w:rPr/>
              <w:t>Facsimile No. (713) 646-2531</w:t>
            </w:r>
          </w:p>
          <w:p>
            <w:pPr>
              <w:pStyle w:val="BodyTextIndent"/>
              <w:ind w:start="1800" w:end="0"/>
              <w:rPr/>
            </w:pPr>
            <w:r>
              <w:rPr/>
            </w:r>
          </w:p>
        </w:tc>
      </w:tr>
      <w:tr>
        <w:trPr/>
        <w:tc>
          <w:tcPr>
            <w:tcW w:w="9468" w:type="dxa"/>
            <w:tcBorders/>
          </w:tcPr>
          <w:p>
            <w:pPr>
              <w:pStyle w:val="BodyTextIndent"/>
              <w:ind w:start="1800" w:end="0"/>
              <w:rPr>
                <w:b/>
              </w:rPr>
            </w:pPr>
            <w:r>
              <w:rPr>
                <w:b/>
              </w:rPr>
              <w:t>Notice and Communication to Customer:</w:t>
            </w:r>
          </w:p>
          <w:p>
            <w:pPr>
              <w:pStyle w:val="BodyTextIndent"/>
              <w:ind w:start="1800" w:end="0"/>
              <w:rPr/>
            </w:pPr>
            <w:r>
              <w:rPr/>
              <w:t>Smurfit Stone Container Corporation</w:t>
            </w:r>
          </w:p>
          <w:p>
            <w:pPr>
              <w:pStyle w:val="BodyTextIndent"/>
              <w:ind w:start="1800" w:end="0"/>
              <w:rPr/>
            </w:pPr>
            <w:r>
              <w:rPr/>
              <w:t>Container Board Mill Division</w:t>
            </w:r>
          </w:p>
          <w:p>
            <w:pPr>
              <w:pStyle w:val="BodyTextIndent"/>
              <w:ind w:start="1800" w:end="0"/>
              <w:rPr/>
            </w:pPr>
            <w:r>
              <w:rPr/>
              <w:t>2001 East 57</w:t>
            </w:r>
            <w:r>
              <w:rPr>
                <w:vertAlign w:val="superscript"/>
              </w:rPr>
              <w:t>th</w:t>
            </w:r>
            <w:r>
              <w:rPr/>
              <w:t xml:space="preserve"> St.</w:t>
            </w:r>
          </w:p>
          <w:p>
            <w:pPr>
              <w:pStyle w:val="BodyTextIndent"/>
              <w:ind w:start="1800" w:end="0"/>
              <w:rPr/>
            </w:pPr>
            <w:r>
              <w:rPr/>
              <w:t>Los Angeles, CA  90058</w:t>
            </w:r>
          </w:p>
          <w:p>
            <w:pPr>
              <w:pStyle w:val="BodyTextIndent"/>
              <w:ind w:start="1800" w:end="0"/>
              <w:rPr/>
            </w:pPr>
            <w:r>
              <w:rPr/>
            </w:r>
          </w:p>
          <w:p>
            <w:pPr>
              <w:pStyle w:val="BodyTextIndent"/>
              <w:ind w:start="1800" w:end="0"/>
              <w:rPr/>
            </w:pPr>
            <w:r>
              <w:rPr/>
              <w:t>Facsimile No. (323) 583-7949</w:t>
            </w:r>
          </w:p>
          <w:p>
            <w:pPr>
              <w:pStyle w:val="BodyTextIndent"/>
              <w:ind w:start="1800" w:end="0"/>
              <w:rPr/>
            </w:pPr>
            <w:r>
              <w:rPr/>
            </w:r>
          </w:p>
        </w:tc>
      </w:tr>
      <w:tr>
        <w:trPr/>
        <w:tc>
          <w:tcPr>
            <w:tcW w:w="9468" w:type="dxa"/>
            <w:tcBorders/>
          </w:tcPr>
          <w:p>
            <w:pPr>
              <w:pStyle w:val="BodyTextIndent"/>
              <w:snapToGrid w:val="false"/>
              <w:ind w:start="1800" w:end="0"/>
              <w:rPr/>
            </w:pPr>
            <w:r>
              <w:rPr/>
            </w:r>
          </w:p>
        </w:tc>
      </w:tr>
      <w:tr>
        <w:trPr/>
        <w:tc>
          <w:tcPr>
            <w:tcW w:w="9468" w:type="dxa"/>
            <w:tcBorders/>
          </w:tcPr>
          <w:p>
            <w:pPr>
              <w:pStyle w:val="BodyTextIndent"/>
              <w:ind w:start="1800" w:end="0"/>
              <w:rPr>
                <w:b/>
              </w:rPr>
            </w:pPr>
            <w:r>
              <w:rPr>
                <w:b/>
              </w:rPr>
              <w:t>Billing, Invoices and Accounting Matters:</w:t>
            </w:r>
          </w:p>
          <w:p>
            <w:pPr>
              <w:pStyle w:val="BodyTextIndent"/>
              <w:ind w:start="1800" w:end="0"/>
              <w:rPr/>
            </w:pPr>
            <w:r>
              <w:rPr/>
              <w:t>Smurfit Stone Container Corporation</w:t>
            </w:r>
          </w:p>
          <w:p>
            <w:pPr>
              <w:pStyle w:val="BodyTextIndent"/>
              <w:ind w:start="1800" w:end="0"/>
              <w:rPr/>
            </w:pPr>
            <w:r>
              <w:rPr/>
              <w:t>Container Board Mill Division</w:t>
            </w:r>
          </w:p>
          <w:p>
            <w:pPr>
              <w:pStyle w:val="BodyTextIndent"/>
              <w:ind w:start="1800" w:end="0"/>
              <w:rPr/>
            </w:pPr>
            <w:r>
              <w:rPr/>
              <w:t>2001 East 57</w:t>
            </w:r>
            <w:r>
              <w:rPr>
                <w:vertAlign w:val="superscript"/>
              </w:rPr>
              <w:t>th</w:t>
            </w:r>
            <w:r>
              <w:rPr/>
              <w:t xml:space="preserve"> St.</w:t>
            </w:r>
          </w:p>
          <w:p>
            <w:pPr>
              <w:pStyle w:val="BodyTextIndent"/>
              <w:ind w:start="1800" w:end="0"/>
              <w:rPr/>
            </w:pPr>
            <w:r>
              <w:rPr/>
              <w:t>Los Angeles, CA  90058</w:t>
            </w:r>
          </w:p>
          <w:p>
            <w:pPr>
              <w:pStyle w:val="BodyTextIndent"/>
              <w:ind w:start="1800" w:end="0"/>
              <w:rPr/>
            </w:pPr>
            <w:r>
              <w:rPr/>
            </w:r>
          </w:p>
          <w:p>
            <w:pPr>
              <w:pStyle w:val="BodyTextIndent"/>
              <w:ind w:start="1800" w:end="0"/>
              <w:rPr/>
            </w:pPr>
            <w:r>
              <w:rPr/>
              <w:t>Facsimile No. (323) 583-7949</w:t>
            </w:r>
          </w:p>
        </w:tc>
      </w:tr>
    </w:tbl>
    <w:p>
      <w:pPr>
        <w:pStyle w:val="BodyTextIndent"/>
        <w:ind w:start="1800" w:end="0"/>
        <w:rPr>
          <w:i/>
          <w:i/>
        </w:rPr>
      </w:pPr>
      <w:r>
        <w:rPr>
          <w:i/>
        </w:rPr>
      </w:r>
    </w:p>
    <w:p>
      <w:pPr>
        <w:pStyle w:val="BodyTextIndent3"/>
        <w:tabs>
          <w:tab w:val="clear" w:pos="720"/>
          <w:tab w:val="left" w:pos="1800" w:leader="none"/>
        </w:tabs>
        <w:ind w:start="720" w:end="0"/>
        <w:rPr>
          <w:i w:val="false"/>
          <w:i w:val="false"/>
          <w:sz w:val="20"/>
        </w:rPr>
      </w:pPr>
      <w:r>
        <w:rPr>
          <w:i w:val="false"/>
          <w:sz w:val="20"/>
        </w:rPr>
      </w:r>
    </w:p>
    <w:p>
      <w:pPr>
        <w:pStyle w:val="BodyText"/>
        <w:jc w:val="both"/>
        <w:rPr>
          <w:b w:val="false"/>
        </w:rPr>
      </w:pPr>
      <w:r>
        <w:rPr>
          <w:b w:val="false"/>
        </w:rPr>
        <w:t>This Confirmation is being provided pursuant to and in accordance with the attached Firm GTC and constitutes part of and is subject to all of the provisions of the Firm GTC.  Any objection of Customer to this Confirmation must be made by written notice to Company within 1 day of Customer’s receipt of same.  Please execute this Confirmation and return an executed original to Company.</w:t>
      </w:r>
    </w:p>
    <w:p>
      <w:pPr>
        <w:pStyle w:val="BodyTextIndent3"/>
        <w:tabs>
          <w:tab w:val="clear" w:pos="720"/>
          <w:tab w:val="left" w:pos="1800" w:leader="none"/>
        </w:tabs>
        <w:ind w:start="0" w:end="0"/>
        <w:rPr>
          <w:b/>
          <w:sz w:val="20"/>
        </w:rPr>
      </w:pPr>
      <w:r>
        <w:rPr>
          <w:b/>
          <w:sz w:val="20"/>
        </w:rPr>
      </w:r>
    </w:p>
    <w:p>
      <w:pPr>
        <w:pStyle w:val="BodyTextIndent3"/>
        <w:tabs>
          <w:tab w:val="clear" w:pos="720"/>
          <w:tab w:val="left" w:pos="1800" w:leader="none"/>
        </w:tabs>
        <w:ind w:start="0" w:end="0"/>
        <w:rPr>
          <w:sz w:val="20"/>
        </w:rPr>
      </w:pPr>
      <w:r>
        <w:rPr>
          <w:sz w:val="20"/>
        </w:rPr>
      </w:r>
    </w:p>
    <w:p>
      <w:pPr>
        <w:pStyle w:val="Normal"/>
        <w:keepNext w:val="true"/>
        <w:keepLines/>
        <w:ind w:hanging="5040" w:start="5040" w:end="0"/>
        <w:jc w:val="both"/>
        <w:rPr/>
      </w:pPr>
      <w:r>
        <w:rPr>
          <w:rFonts w:cs="Times New Roman" w:ascii="Times New Roman" w:hAnsi="Times New Roman"/>
          <w:b/>
          <w:sz w:val="20"/>
        </w:rPr>
        <w:t>SMURFIT STONE CONTAINER CORPORATION</w:t>
      </w:r>
      <w:r>
        <w:rPr>
          <w:rFonts w:cs="Times New Roman" w:ascii="Times New Roman" w:hAnsi="Times New Roman"/>
          <w:sz w:val="20"/>
        </w:rPr>
        <w:tab/>
      </w:r>
      <w:r>
        <w:rPr>
          <w:rFonts w:cs="Times New Roman" w:ascii="Times New Roman" w:hAnsi="Times New Roman"/>
          <w:b/>
          <w:sz w:val="20"/>
        </w:rPr>
        <w:t>ENRON NORTH AMERICA CORP.</w:t>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sz w:val="22"/>
        </w:rPr>
      </w:pPr>
      <w:r>
        <w:rPr/>
        <w:t>By:________________________</w:t>
        <w:tab/>
        <w:tab/>
        <w:t>By: _______________________</w:t>
      </w:r>
      <w:r>
        <w:rPr>
          <w:sz w:val="16"/>
        </w:rPr>
        <w:tab/>
      </w:r>
    </w:p>
    <w:p>
      <w:pPr>
        <w:pStyle w:val="Normal"/>
        <w:keepNext w:val="true"/>
        <w:keepLines/>
        <w:ind w:start="1728" w:end="0"/>
        <w:rPr>
          <w:rFonts w:ascii="Times New Roman" w:hAnsi="Times New Roman" w:cs="Times New Roman"/>
          <w:sz w:val="16"/>
        </w:rPr>
      </w:pPr>
      <w:r>
        <w:rPr>
          <w:rFonts w:cs="Times New Roman" w:ascii="Times New Roman" w:hAnsi="Times New Roman"/>
          <w:sz w:val="16"/>
        </w:rPr>
        <w:t>Signature</w:t>
        <w:tab/>
        <w:tab/>
        <w:tab/>
        <w:tab/>
        <w:tab/>
        <w:tab/>
        <w:t>Signature</w:t>
      </w:r>
    </w:p>
    <w:p>
      <w:pPr>
        <w:pStyle w:val="Normal"/>
        <w:keepNext w:val="true"/>
        <w:keepLines/>
        <w:rPr>
          <w:rFonts w:ascii="Times New Roman" w:hAnsi="Times New Roman" w:cs="Times New Roman"/>
          <w:sz w:val="22"/>
        </w:rPr>
      </w:pPr>
      <w:r>
        <w:rPr>
          <w:rFonts w:cs="Times New Roman" w:ascii="Times New Roman" w:hAnsi="Times New Roman"/>
          <w:sz w:val="22"/>
        </w:rPr>
      </w:r>
    </w:p>
    <w:p>
      <w:pPr>
        <w:pStyle w:val="Normal"/>
        <w:keepNext w:val="true"/>
        <w:keepLines/>
        <w:rPr>
          <w:rFonts w:ascii="Times New Roman" w:hAnsi="Times New Roman" w:cs="Times New Roman"/>
          <w:sz w:val="16"/>
        </w:rPr>
      </w:pPr>
      <w:r>
        <w:rPr>
          <w:rFonts w:cs="Times New Roman" w:ascii="Times New Roman" w:hAnsi="Times New Roman"/>
          <w:sz w:val="16"/>
        </w:rPr>
        <w:t xml:space="preserve">Printed </w:t>
        <w:tab/>
        <w:tab/>
        <w:tab/>
        <w:tab/>
        <w:tab/>
        <w:tab/>
        <w:tab/>
        <w:t>Printed</w:t>
      </w:r>
    </w:p>
    <w:p>
      <w:pPr>
        <w:pStyle w:val="Normal"/>
        <w:keepNext w:val="true"/>
        <w:keepLines/>
        <w:rPr>
          <w:rFonts w:ascii="Times New Roman" w:hAnsi="Times New Roman" w:cs="Times New Roman"/>
          <w:sz w:val="22"/>
        </w:rPr>
      </w:pPr>
      <w:r>
        <w:rPr>
          <w:rFonts w:cs="Times New Roman" w:ascii="Times New Roman" w:hAnsi="Times New Roman"/>
          <w:sz w:val="16"/>
        </w:rPr>
        <w:t>Name</w:t>
      </w:r>
      <w:r>
        <w:rPr>
          <w:rFonts w:cs="Times New Roman" w:ascii="Times New Roman" w:hAnsi="Times New Roman"/>
          <w:sz w:val="22"/>
          <w:u w:val="single"/>
        </w:rPr>
        <w:tab/>
        <w:tab/>
        <w:tab/>
        <w:tab/>
        <w:tab/>
        <w:tab/>
      </w:r>
      <w:r>
        <w:rPr>
          <w:rFonts w:cs="Times New Roman" w:ascii="Times New Roman" w:hAnsi="Times New Roman"/>
          <w:sz w:val="22"/>
        </w:rPr>
        <w:tab/>
      </w:r>
      <w:r>
        <w:rPr>
          <w:rFonts w:cs="Times New Roman" w:ascii="Times New Roman" w:hAnsi="Times New Roman"/>
          <w:sz w:val="16"/>
        </w:rPr>
        <w:t>Name</w:t>
      </w:r>
      <w:r>
        <w:rPr>
          <w:rFonts w:cs="Times New Roman" w:ascii="Times New Roman" w:hAnsi="Times New Roman"/>
          <w:sz w:val="22"/>
          <w:u w:val="single"/>
        </w:rPr>
        <w:tab/>
        <w:tab/>
        <w:tab/>
        <w:tab/>
        <w:tab/>
        <w:tab/>
      </w:r>
    </w:p>
    <w:p>
      <w:pPr>
        <w:pStyle w:val="Normal"/>
        <w:keepNext w:val="true"/>
        <w:keepLines/>
        <w:rPr>
          <w:rFonts w:ascii="Times New Roman" w:hAnsi="Times New Roman" w:cs="Times New Roman"/>
          <w:sz w:val="22"/>
        </w:rPr>
      </w:pPr>
      <w:r>
        <w:rPr>
          <w:rFonts w:cs="Times New Roman" w:ascii="Times New Roman" w:hAnsi="Times New Roman"/>
          <w:sz w:val="22"/>
        </w:rPr>
      </w:r>
    </w:p>
    <w:p>
      <w:pPr>
        <w:pStyle w:val="Normal"/>
        <w:keepNext w:val="true"/>
        <w:keepLines/>
        <w:rPr>
          <w:rFonts w:ascii="Times New Roman" w:hAnsi="Times New Roman" w:cs="Times New Roman"/>
          <w:sz w:val="22"/>
        </w:rPr>
      </w:pPr>
      <w:r>
        <w:rPr>
          <w:rFonts w:cs="Times New Roman" w:ascii="Times New Roman" w:hAnsi="Times New Roman"/>
          <w:sz w:val="16"/>
        </w:rPr>
        <w:t>Title</w:t>
      </w:r>
      <w:r>
        <w:rPr>
          <w:rFonts w:cs="Times New Roman" w:ascii="Times New Roman" w:hAnsi="Times New Roman"/>
          <w:sz w:val="22"/>
          <w:u w:val="single"/>
        </w:rPr>
        <w:tab/>
        <w:tab/>
        <w:tab/>
        <w:tab/>
        <w:tab/>
        <w:tab/>
      </w:r>
      <w:r>
        <w:rPr>
          <w:rFonts w:cs="Times New Roman" w:ascii="Times New Roman" w:hAnsi="Times New Roman"/>
          <w:sz w:val="22"/>
        </w:rPr>
        <w:tab/>
      </w:r>
      <w:r>
        <w:rPr>
          <w:rFonts w:cs="Times New Roman" w:ascii="Times New Roman" w:hAnsi="Times New Roman"/>
          <w:sz w:val="16"/>
        </w:rPr>
        <w:t>Title</w:t>
      </w:r>
      <w:r>
        <w:rPr>
          <w:rFonts w:cs="Times New Roman" w:ascii="Times New Roman" w:hAnsi="Times New Roman"/>
          <w:sz w:val="22"/>
          <w:u w:val="single"/>
        </w:rPr>
        <w:tab/>
        <w:tab/>
        <w:tab/>
        <w:tab/>
        <w:tab/>
        <w:tab/>
      </w:r>
    </w:p>
    <w:p>
      <w:pPr>
        <w:pStyle w:val="BodyText"/>
        <w:rPr>
          <w:rFonts w:ascii="Times New Roman" w:hAnsi="Times New Roman" w:cs="Times New Roman"/>
          <w:b w:val="false"/>
          <w:sz w:val="22"/>
        </w:rPr>
      </w:pPr>
      <w:r>
        <w:rPr>
          <w:rFonts w:cs="Times New Roman"/>
          <w:b w:val="false"/>
          <w:sz w:val="22"/>
        </w:rPr>
      </w:r>
      <w:r>
        <w:br w:type="page"/>
      </w:r>
    </w:p>
    <w:p>
      <w:pPr>
        <w:pStyle w:val="Normal"/>
        <w:rPr>
          <w:b/>
          <w:sz w:val="22"/>
        </w:rPr>
      </w:pPr>
      <w:r>
        <w:rPr>
          <w:b/>
          <w:sz w:val="22"/>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Designated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Designated Quantity.  If on any day a party fails to schedule the Designated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Designated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Designated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and upon netting, if the calculation of the Termination Payment does not result in damages to the Notifying Party, the Termination Payment shall be zero.  The Notifying Party shall provide the Affected Party a written statement of the amount of the Termination Payment.  The Affected Party shall pay the Termination Payment to the Notifying Party within 10 Days of receipt of such statement.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Designated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Designated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rFonts w:ascii="Arial Narrow" w:hAnsi="Arial Narrow" w:cs="Arial Narrow"/>
          <w:sz w:val="18"/>
        </w:rPr>
      </w:pPr>
      <w:r>
        <w:rPr>
          <w:rFonts w:cs="Arial Narrow" w:ascii="Arial Narrow" w:hAnsi="Arial Narrow"/>
          <w:sz w:val="18"/>
        </w:rPr>
        <w:t>[f:\atty.fms\3100sgtc.doc  10/96]</w:t>
      </w:r>
    </w:p>
    <w:sectPr>
      <w:type w:val="continuous"/>
      <w:pgSz w:w="12240" w:h="15840"/>
      <w:pgMar w:left="1440" w:right="1440" w:gutter="0" w:header="720" w:top="1440" w:footer="720"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Times New Roman" w:hAnsi="Times New Roman" w:cs="Times New Roman"/>
        <w:sz w:val="18"/>
      </w:rPr>
    </w:pPr>
    <w:r>
      <w:rPr>
        <w:rFonts w:cs="Times New Roman" w:ascii="Times New Roman" w:hAnsi="Times New Roman"/>
        <w:sz w:val="18"/>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9850" cy="130810"/>
              <wp:effectExtent l="0" t="0" r="0" b="0"/>
              <wp:wrapSquare wrapText="bothSides"/>
              <wp:docPr id="1" name="Frame1"/>
              <a:graphic xmlns:a="http://schemas.openxmlformats.org/drawingml/2006/main">
                <a:graphicData uri="http://schemas.microsoft.com/office/word/2010/wordprocessingShape">
                  <wps:wsp>
                    <wps:cNvSpPr txBox="1"/>
                    <wps:spPr>
                      <a:xfrm>
                        <a:off x="0" y="0"/>
                        <a:ext cx="69850" cy="130810"/>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5.5pt;height:10.3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w:t>
                    </w:r>
                    <w:r>
                      <w:rPr>
                        <w:rStyle w:val="PageNumber"/>
                        <w:sz w:val="18"/>
                      </w:rPr>
                      <w:fldChar w:fldCharType="end"/>
                    </w:r>
                  </w:p>
                </w:txbxContent>
              </v:textbox>
              <w10:wrap type="square"/>
            </v:rect>
          </w:pict>
        </mc:Fallback>
      </mc:AlternateContent>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/mnt/main-storage/datasets/enron-docs/doc/2001_020crfm-708b6581fa3bb5f5db7e9b3e3457c9408bd8f714939657b4aaee568272090982.doc</w:t>
    </w:r>
    <w:r>
      <w:rPr>
        <w:sz w:val="12"/>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/mnt/main-storage/datasets/enron-docs/doc/2001_020crfm-708b6581fa3bb5f5db7e9b3e3457c9408bd8f714939657b4aaee568272090982.doc</w:t>
    </w:r>
    <w:r>
      <w:rPr>
        <w:sz w:val="1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Smurfit Stone Container Corporation</w:t>
    </w:r>
  </w:p>
  <w:p>
    <w:pPr>
      <w:pStyle w:val="Header"/>
      <w:rPr>
        <w:rFonts w:ascii="Times New Roman" w:hAnsi="Times New Roman" w:cs="Times New Roman"/>
        <w:sz w:val="22"/>
      </w:rPr>
    </w:pPr>
    <w:r>
      <w:rPr>
        <w:rFonts w:cs="Times New Roman" w:ascii="Times New Roman" w:hAnsi="Times New Roman"/>
        <w:sz w:val="22"/>
      </w:rPr>
      <w:t>February 16, 2001</w:t>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7</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790564160"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1800"/>
        </w:tabs>
        <w:ind w:start="1800" w:hanging="360"/>
      </w:pPr>
      <w:rPr/>
    </w:lvl>
  </w:abstractNum>
  <w:abstractNum w:abstractNumId="3">
    <w:lvl w:ilvl="0">
      <w:start w:val="1"/>
      <w:numFmt w:val="lowerLetter"/>
      <w:lvlText w:val="%1."/>
      <w:lvlJc w:val="start"/>
      <w:pPr>
        <w:tabs>
          <w:tab w:val="num" w:pos="2160"/>
        </w:tabs>
        <w:ind w:start="2160" w:hanging="360"/>
      </w:pPr>
      <w:rPr/>
    </w:lvl>
  </w:abstractNum>
  <w:abstractNum w:abstractNumId="4">
    <w:lvl w:ilvl="0">
      <w:start w:val="1"/>
      <w:numFmt w:val="upperRoman"/>
      <w:lvlText w:val="%1."/>
      <w:lvlJc w:val="start"/>
      <w:pPr>
        <w:tabs>
          <w:tab w:val="num" w:pos="720"/>
        </w:tabs>
        <w:ind w:start="720" w:hanging="720"/>
      </w:pPr>
      <w:rPr/>
    </w:lvl>
  </w:abstractNum>
  <w:abstractNum w:abstractNumId="5">
    <w:lvl w:ilvl="0">
      <w:start w:val="3"/>
      <w:numFmt w:val="decimal"/>
      <w:lvlText w:val="%1."/>
      <w:lvlJc w:val="start"/>
      <w:pPr>
        <w:tabs>
          <w:tab w:val="num" w:pos="1800"/>
        </w:tabs>
        <w:ind w:start="1800" w:hanging="360"/>
      </w:pPr>
      <w:rPr/>
    </w:lvl>
  </w:abstractNum>
  <w:abstractNum w:abstractNumId="6">
    <w:lvl w:ilvl="0">
      <w:start w:val="2"/>
      <w:numFmt w:val="decimal"/>
      <w:lvlText w:val="%1."/>
      <w:lvlJc w:val="start"/>
      <w:pPr>
        <w:tabs>
          <w:tab w:val="num" w:pos="1800"/>
        </w:tabs>
        <w:ind w:start="1800" w:hanging="360"/>
      </w:pPr>
      <w:rPr/>
    </w:lvl>
  </w:abstractNum>
  <w:abstractNum w:abstractNumId="7">
    <w:lvl w:ilvl="0">
      <w:start w:val="1"/>
      <w:numFmt w:val="lowerLetter"/>
      <w:lvlText w:val="%1."/>
      <w:lvlJc w:val="start"/>
      <w:pPr>
        <w:tabs>
          <w:tab w:val="num" w:pos="2160"/>
        </w:tabs>
        <w:ind w:start="21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firstLine="720" w:start="216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0"/>
        <w:numId w:val="4"/>
      </w:numPr>
      <w:tabs>
        <w:tab w:val="clear" w:pos="720"/>
        <w:tab w:val="left" w:pos="360" w:leader="none"/>
      </w:tabs>
      <w:ind w:hanging="360" w:start="360" w:end="0"/>
      <w:outlineLvl w:val="7"/>
    </w:pPr>
    <w:rPr>
      <w:rFonts w:ascii="Times New Roman" w:hAnsi="Times New Roman" w:cs="Times New Roman"/>
      <w:b/>
      <w:sz w:val="20"/>
    </w:rPr>
  </w:style>
  <w:style w:type="paragraph" w:styleId="Heading9">
    <w:name w:val="heading 9"/>
    <w:basedOn w:val="Normal"/>
    <w:next w:val="Normal"/>
    <w:qFormat/>
    <w:pPr>
      <w:keepNext w:val="true"/>
      <w:numPr>
        <w:ilvl w:val="8"/>
        <w:numId w:val="1"/>
      </w:numPr>
      <w:jc w:val="center"/>
      <w:outlineLvl w:val="8"/>
    </w:pPr>
    <w:rPr>
      <w:rFonts w:ascii="Times New Roman" w:hAnsi="Times New Roman" w:cs="Times New Roman"/>
      <w:b/>
      <w:sz w:val="24"/>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cs="Times New Roman"/>
      <w:b w:val="false"/>
      <w:i w:val="false"/>
      <w:sz w:val="22"/>
      <w:u w:val="none"/>
    </w:rPr>
  </w:style>
  <w:style w:type="character" w:styleId="WW8Num6z0">
    <w:name w:val="WW8Num6z0"/>
    <w:qFormat/>
    <w:rPr/>
  </w:style>
  <w:style w:type="character" w:styleId="WW8Num7z0">
    <w:name w:val="WW8Num7z0"/>
    <w:qFormat/>
    <w:rPr>
      <w:sz w:val="20"/>
    </w:rPr>
  </w:style>
  <w:style w:type="character" w:styleId="WW8Num8z0">
    <w:name w:val="WW8Num8z0"/>
    <w:qFormat/>
    <w:rPr>
      <w:rFonts w:ascii="Times New Roman" w:hAnsi="Times New Roman" w:cs="Times New Roman"/>
      <w:b w:val="false"/>
      <w:i w:val="false"/>
      <w:sz w:val="22"/>
      <w:u w:val="none"/>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8z0">
    <w:name w:val="WW8Num28z0"/>
    <w:qFormat/>
    <w:rPr/>
  </w:style>
  <w:style w:type="character" w:styleId="WW8Num29z0">
    <w:name w:val="WW8Num29z0"/>
    <w:qFormat/>
    <w:rPr>
      <w:sz w:val="20"/>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b w:val="false"/>
      <w:i w:val="false"/>
      <w:sz w:val="22"/>
      <w:u w:val="none"/>
    </w:rPr>
  </w:style>
  <w:style w:type="character" w:styleId="WW8Num38z0">
    <w:name w:val="WW8Num38z0"/>
    <w:qFormat/>
    <w:rPr>
      <w:sz w:val="20"/>
    </w:rPr>
  </w:style>
  <w:style w:type="character" w:styleId="WW8Num39z0">
    <w:name w:val="WW8Num39z0"/>
    <w:qFormat/>
    <w:rPr/>
  </w:style>
  <w:style w:type="character" w:styleId="WW8Num40z0">
    <w:name w:val="WW8Num40z0"/>
    <w:qFormat/>
    <w:rPr/>
  </w:style>
  <w:style w:type="character" w:styleId="WW8Num41z0">
    <w:name w:val="WW8Num41z0"/>
    <w:qFormat/>
    <w:rPr>
      <w:u w:val="single"/>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rFonts w:ascii="Times New Roman" w:hAnsi="Times New Roman" w:cs="Times New Roman"/>
      <w:b w:val="false"/>
      <w:i w:val="false"/>
      <w:sz w:val="22"/>
      <w:u w:val="none"/>
    </w:rPr>
  </w:style>
  <w:style w:type="character" w:styleId="WW8Num70z0">
    <w:name w:val="WW8Num70z0"/>
    <w:qFormat/>
    <w:rPr/>
  </w:style>
  <w:style w:type="character" w:styleId="WW8Num71z0">
    <w:name w:val="WW8Num71z0"/>
    <w:qFormat/>
    <w:rPr>
      <w:rFonts w:ascii="Times New Roman" w:hAnsi="Times New Roman" w:cs="Times New Roman"/>
      <w:b w:val="false"/>
      <w:i w:val="false"/>
      <w:sz w:val="20"/>
      <w:u w:val="none"/>
    </w:rPr>
  </w:style>
  <w:style w:type="character" w:styleId="WW8Num72z0">
    <w:name w:val="WW8Num72z0"/>
    <w:qFormat/>
    <w:rPr>
      <w:rFonts w:ascii="Times New Roman" w:hAnsi="Times New Roman" w:cs="Times New Roman"/>
      <w:b w:val="false"/>
      <w:i w:val="false"/>
      <w:sz w:val="22"/>
      <w:u w:val="none"/>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omans">
    <w:name w:val="Romans"/>
    <w:basedOn w:val="Normal"/>
    <w:qFormat/>
    <w:pPr/>
    <w:rPr>
      <w:rFonts w:ascii="Times New Roman" w:hAnsi="Times New Roman" w:cs="Times New Roman"/>
      <w:b/>
      <w:smallCaps/>
      <w:sz w:val="32"/>
    </w:rPr>
  </w:style>
  <w:style w:type="paragraph" w:styleId="top">
    <w:name w:val="top"/>
    <w:basedOn w:val="Normal"/>
    <w:qFormat/>
    <w:pPr>
      <w:jc w:val="center"/>
    </w:pPr>
    <w:rPr>
      <w:rFonts w:ascii="Times New Roman" w:hAnsi="Times New Roman" w:cs="Times New Roman"/>
      <w:b/>
      <w:smallCaps/>
      <w:sz w:val="32"/>
    </w:rPr>
  </w:style>
  <w:style w:type="paragraph" w:styleId="BodyTextIndent">
    <w:name w:val="Body Text Indent"/>
    <w:basedOn w:val="Normal"/>
    <w:pPr>
      <w:tabs>
        <w:tab w:val="clear" w:pos="720"/>
        <w:tab w:val="left" w:pos="0" w:leader="none"/>
      </w:tabs>
      <w:ind w:hanging="0" w:start="2160" w:end="0"/>
    </w:pPr>
    <w:rPr>
      <w:rFonts w:ascii="Times New Roman" w:hAnsi="Times New Roman" w:cs="Times New Roman"/>
      <w:sz w:val="20"/>
    </w:rPr>
  </w:style>
  <w:style w:type="paragraph" w:styleId="BodyText2">
    <w:name w:val="Body Text 2"/>
    <w:basedOn w:val="Normal"/>
    <w:qFormat/>
    <w:pPr/>
    <w:rPr>
      <w:rFonts w:ascii="Times New Roman" w:hAnsi="Times New Roman" w:cs="Times New Roman"/>
      <w:sz w:val="20"/>
    </w:rPr>
  </w:style>
  <w:style w:type="paragraph" w:styleId="BodyText3">
    <w:name w:val="Body Text 3"/>
    <w:basedOn w:val="Normal"/>
    <w:qFormat/>
    <w:pPr>
      <w:tabs>
        <w:tab w:val="clear" w:pos="720"/>
        <w:tab w:val="left" w:pos="1440" w:leader="none"/>
        <w:tab w:val="left" w:pos="4320" w:leader="none"/>
        <w:tab w:val="left" w:pos="5220" w:leader="none"/>
        <w:tab w:val="left" w:pos="9180" w:leader="none"/>
      </w:tabs>
      <w:jc w:val="both"/>
    </w:pPr>
    <w:rPr>
      <w:rFonts w:ascii="Times New Roman" w:hAnsi="Times New Roman" w:cs="Times New Roman"/>
      <w:sz w:val="24"/>
    </w:rPr>
  </w:style>
  <w:style w:type="paragraph" w:styleId="BodyTextIndent2">
    <w:name w:val="Body Text Indent 2"/>
    <w:basedOn w:val="Normal"/>
    <w:qFormat/>
    <w:pPr>
      <w:ind w:hanging="0" w:start="1440" w:end="0"/>
    </w:pPr>
    <w:rPr>
      <w:rFonts w:ascii="Times New Roman" w:hAnsi="Times New Roman" w:cs="Times New Roman"/>
      <w:sz w:val="24"/>
    </w:rPr>
  </w:style>
  <w:style w:type="paragraph" w:styleId="BodyTextIndent3">
    <w:name w:val="Body Text Indent 3"/>
    <w:basedOn w:val="Normal"/>
    <w:qFormat/>
    <w:pPr>
      <w:ind w:hanging="0" w:start="1440" w:end="0"/>
    </w:pPr>
    <w:rPr>
      <w:rFonts w:ascii="Times New Roman" w:hAnsi="Times New Roman" w:cs="Times New Roman"/>
      <w:i/>
      <w:sz w:val="24"/>
    </w:rPr>
  </w:style>
  <w:style w:type="paragraph" w:styleId="BlockText">
    <w:name w:val="Block Text"/>
    <w:basedOn w:val="Normal"/>
    <w:qFormat/>
    <w:pPr>
      <w:ind w:hanging="0" w:start="-108" w:end="144"/>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2001-02-16T17:31:00Z</dcterms:created>
  <dc:creator>ECT</dc:creator>
  <dc:description/>
  <dc:language>en-CA</dc:language>
  <cp:lastModifiedBy>dhyvl</cp:lastModifiedBy>
  <cp:lastPrinted>2001-02-16T14:11:00Z</cp:lastPrinted>
  <dcterms:modified xsi:type="dcterms:W3CDTF">2001-02-16T17:43:00Z</dcterms:modified>
  <cp:revision>6</cp:revision>
  <dc:subject/>
  <dc:title>Services Agreement</dc:title>
</cp:coreProperties>
</file>