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788" w:type="dxa"/>
            <w:tcBorders/>
          </w:tcPr>
          <w:p>
            <w:pPr>
              <w:pStyle w:val="Header"/>
              <w:tabs>
                <w:tab w:val="clear" w:pos="4320"/>
                <w:tab w:val="center" w:pos="4489" w:leader="none"/>
                <w:tab w:val="right" w:pos="8640" w:leader="none"/>
              </w:tabs>
              <w:snapToGrid w:val="false"/>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r>
          </w:p>
          <w:p>
            <w:pPr>
              <w:pStyle w:val="Header"/>
              <w:tabs>
                <w:tab w:val="clear" w:pos="4320"/>
                <w:tab w:val="center" w:pos="4489" w:leader="none"/>
                <w:tab w:val="right" w:pos="8640" w:leader="none"/>
              </w:tabs>
              <w:ind w:start="1969" w:end="0"/>
              <w:rPr>
                <w:rFonts w:ascii="Arial" w:hAnsi="Arial" w:cs="Arial"/>
                <w:b/>
                <w:sz w:val="18"/>
              </w:rPr>
            </w:pPr>
            <w:r>
              <w:rPr>
                <w:rFonts w:cs="Arial" w:ascii="Arial" w:hAnsi="Arial"/>
                <w:b/>
                <w:sz w:val="18"/>
              </w:rPr>
              <w:t>Houston Pipe Line Company</w:t>
            </w:r>
          </w:p>
          <w:p>
            <w:pPr>
              <w:pStyle w:val="Header"/>
              <w:ind w:start="1969" w:end="0"/>
              <w:rPr>
                <w:rFonts w:ascii="Arial" w:hAnsi="Arial" w:cs="Arial"/>
                <w:i/>
                <w:i/>
                <w:sz w:val="16"/>
              </w:rPr>
            </w:pPr>
            <w:r>
              <w:rPr>
                <w:rFonts w:cs="Arial" w:ascii="Arial" w:hAnsi="Arial"/>
                <w:i/>
                <w:sz w:val="16"/>
              </w:rPr>
              <w:t>P.O. Box 1188</w:t>
            </w:r>
          </w:p>
          <w:p>
            <w:pPr>
              <w:pStyle w:val="Heading1"/>
              <w:rPr>
                <w:rFonts w:ascii="Arial" w:hAnsi="Arial" w:cs="Arial"/>
                <w:i w:val="false"/>
                <w:i w:val="false"/>
                <w:sz w:val="16"/>
              </w:rPr>
            </w:pPr>
            <w:r>
              <w:rPr>
                <w:rFonts w:cs="Arial" w:ascii="Arial" w:hAnsi="Arial"/>
                <w:i w:val="false"/>
                <w:sz w:val="16"/>
              </w:rPr>
              <w:t>Houston, TX  77251-1188</w:t>
            </w:r>
          </w:p>
        </w:tc>
      </w:tr>
    </w:tbl>
    <w:p>
      <w:pPr>
        <w:pStyle w:val="Normal"/>
        <w:jc w:val="center"/>
        <w:rPr/>
      </w:pPr>
      <w:r>
        <w:rPr/>
      </w:r>
    </w:p>
    <w:p>
      <w:pPr>
        <w:pStyle w:val="Normal"/>
        <w:jc w:val="center"/>
        <w:rPr/>
      </w:pPr>
      <w:r>
        <w:rPr/>
      </w:r>
    </w:p>
    <w:p>
      <w:pPr>
        <w:pStyle w:val="Normal"/>
        <w:jc w:val="center"/>
        <w:rPr/>
      </w:pPr>
      <w:r>
        <w:rPr/>
      </w:r>
    </w:p>
    <w:p>
      <w:pPr>
        <w:pStyle w:val="Normal"/>
        <w:tabs>
          <w:tab w:val="clear" w:pos="720"/>
          <w:tab w:val="left" w:pos="5040" w:leader="none"/>
        </w:tabs>
        <w:jc w:val="both"/>
        <w:rPr/>
      </w:pPr>
      <w:r>
        <w:rPr/>
        <w:tab/>
        <w:t>February 2, 2001</w:t>
      </w:r>
    </w:p>
    <w:p>
      <w:pPr>
        <w:pStyle w:val="Normal"/>
        <w:rPr/>
      </w:pPr>
      <w:r>
        <w:rPr/>
      </w:r>
    </w:p>
    <w:p>
      <w:pPr>
        <w:pStyle w:val="Normal"/>
        <w:rPr/>
      </w:pPr>
      <w:r>
        <w:rPr/>
      </w:r>
    </w:p>
    <w:p>
      <w:pPr>
        <w:pStyle w:val="Normal"/>
        <w:rPr/>
      </w:pPr>
      <w:r>
        <w:rPr/>
      </w:r>
    </w:p>
    <w:p>
      <w:pPr>
        <w:pStyle w:val="Normal"/>
        <w:rPr/>
      </w:pPr>
      <w:r>
        <w:rPr/>
        <w:t>Shell Chemical Company</w:t>
      </w:r>
    </w:p>
    <w:p>
      <w:pPr>
        <w:pStyle w:val="Normal"/>
        <w:rPr/>
      </w:pPr>
      <w:r>
        <w:rPr/>
        <w:t>C/O Equiva Services LLC</w:t>
      </w:r>
    </w:p>
    <w:p>
      <w:pPr>
        <w:pStyle w:val="Normal"/>
        <w:rPr/>
      </w:pPr>
      <w:r>
        <w:rPr/>
        <w:t>P. O. Box 3017</w:t>
      </w:r>
    </w:p>
    <w:p>
      <w:pPr>
        <w:pStyle w:val="Normal"/>
        <w:rPr/>
      </w:pPr>
      <w:r>
        <w:rPr/>
        <w:t>Houston, Texas  77253</w:t>
      </w:r>
    </w:p>
    <w:p>
      <w:pPr>
        <w:pStyle w:val="Normal"/>
        <w:rPr/>
      </w:pPr>
      <w:r>
        <w:rPr/>
      </w:r>
    </w:p>
    <w:p>
      <w:pPr>
        <w:pStyle w:val="Normal"/>
        <w:ind w:firstLine="720" w:end="0"/>
        <w:rPr/>
      </w:pPr>
      <w:r>
        <w:rPr/>
        <w:t>Attn</w:t>
        <w:tab/>
        <w:t>J. Luther Shankster</w:t>
      </w:r>
    </w:p>
    <w:p>
      <w:pPr>
        <w:pStyle w:val="Normal"/>
        <w:rPr/>
      </w:pPr>
      <w:r>
        <w:rPr/>
        <w:tab/>
        <w:tab/>
        <w:t>Energy &amp; Utilities Planning</w:t>
      </w:r>
    </w:p>
    <w:p>
      <w:pPr>
        <w:pStyle w:val="Normal"/>
        <w:rPr/>
      </w:pPr>
      <w:r>
        <w:rPr/>
      </w:r>
    </w:p>
    <w:p>
      <w:pPr>
        <w:pStyle w:val="Normal"/>
        <w:rPr/>
      </w:pPr>
      <w:r>
        <w:rPr/>
      </w:r>
    </w:p>
    <w:p>
      <w:pPr>
        <w:pStyle w:val="Normal"/>
        <w:numPr>
          <w:ilvl w:val="0"/>
          <w:numId w:val="0"/>
        </w:numPr>
        <w:jc w:val="center"/>
        <w:outlineLvl w:val="0"/>
        <w:rPr/>
      </w:pPr>
      <w:r>
        <w:rPr/>
        <w:t>TRANSACTION AGREEMENT</w:t>
      </w:r>
    </w:p>
    <w:p>
      <w:pPr>
        <w:pStyle w:val="Normal"/>
        <w:jc w:val="center"/>
        <w:rPr/>
      </w:pPr>
      <w:r>
        <w:rPr/>
      </w:r>
    </w:p>
    <w:p>
      <w:pPr>
        <w:pStyle w:val="Normal"/>
        <w:jc w:val="both"/>
        <w:rPr/>
      </w:pPr>
      <w:r>
        <w:rPr/>
        <w:t xml:space="preserve">This Transaction Agreement shall form and effectuate the agreement between Shell Chemical Company ("Customer") and Houston Pipe Line Company ("Company") regarding the firm  purchase and sale of Gas under the following terms and conditions. </w:t>
      </w:r>
      <w:r>
        <w:rPr/>
        <w:fldChar w:fldCharType="begin"/>
      </w:r>
      <w:r>
        <w:rPr/>
        <w:instrText xml:space="preserve"> MERGEFIELD Seller </w:instrText>
      </w:r>
      <w:r>
        <w:rPr/>
        <w:fldChar w:fldCharType="separate"/>
      </w:r>
      <w:r>
        <w:rPr/>
        <w:t>Customer</w:t>
      </w:r>
      <w:r>
        <w:rPr/>
        <w:fldChar w:fldCharType="end"/>
      </w:r>
      <w:r>
        <w:rPr/>
        <w:t xml:space="preserve"> to purchase and receive (“Buyer”) and </w:t>
      </w:r>
      <w:r>
        <w:rPr/>
        <w:fldChar w:fldCharType="begin"/>
      </w:r>
      <w:r>
        <w:rPr/>
        <w:instrText xml:space="preserve"> MERGEFIELD Buyer </w:instrText>
      </w:r>
      <w:r>
        <w:rPr/>
        <w:fldChar w:fldCharType="separate"/>
      </w:r>
      <w:r>
        <w:rPr/>
        <w:t>Company</w:t>
      </w:r>
      <w:r>
        <w:rPr/>
        <w:fldChar w:fldCharType="end"/>
      </w:r>
      <w:r>
        <w:rPr/>
        <w:t xml:space="preserve"> to sell and deliver (“Seller”).  Transaction Agreement No. __</w:t>
      </w:r>
      <w:r>
        <w:rPr>
          <w:u w:val="single"/>
        </w:rPr>
        <w:t>2</w:t>
      </w:r>
      <w:r>
        <w:rPr/>
        <w:t>___.</w:t>
      </w:r>
    </w:p>
    <w:p>
      <w:pPr>
        <w:pStyle w:val="Normal"/>
        <w:rPr/>
      </w:pPr>
      <w:r>
        <w:rPr/>
      </w:r>
    </w:p>
    <w:tbl>
      <w:tblPr>
        <w:tblW w:w="9846" w:type="dxa"/>
        <w:jc w:val="start"/>
        <w:tblInd w:w="0" w:type="dxa"/>
        <w:tblLayout w:type="fixed"/>
        <w:tblCellMar>
          <w:top w:w="0" w:type="dxa"/>
          <w:start w:w="108" w:type="dxa"/>
          <w:bottom w:w="0" w:type="dxa"/>
          <w:end w:w="108" w:type="dxa"/>
        </w:tblCellMar>
      </w:tblPr>
      <w:tblGrid>
        <w:gridCol w:w="3618"/>
        <w:gridCol w:w="6228"/>
      </w:tblGrid>
      <w:tr>
        <w:trPr/>
        <w:tc>
          <w:tcPr>
            <w:tcW w:w="3618" w:type="dxa"/>
            <w:tcBorders/>
          </w:tcPr>
          <w:p>
            <w:pPr>
              <w:pStyle w:val="Normal"/>
              <w:ind w:hanging="360" w:start="360" w:end="-198"/>
              <w:rPr>
                <w:b/>
              </w:rPr>
            </w:pPr>
            <w:r>
              <w:rPr>
                <w:b/>
              </w:rPr>
              <w:t>DAILYCONTRACTQUANTITY: MaxDQ:</w:t>
            </w:r>
          </w:p>
          <w:p>
            <w:pPr>
              <w:pStyle w:val="Normal"/>
              <w:ind w:hanging="360" w:start="360" w:end="-198"/>
              <w:rPr/>
            </w:pPr>
            <w:r>
              <w:rPr/>
              <w:tab/>
            </w:r>
            <w:r>
              <w:rPr>
                <w:b/>
                <w:bCs/>
              </w:rPr>
              <w:t>MinDQ:</w:t>
            </w:r>
          </w:p>
        </w:tc>
        <w:tc>
          <w:tcPr>
            <w:tcW w:w="6228" w:type="dxa"/>
            <w:tcBorders/>
          </w:tcPr>
          <w:p>
            <w:pPr>
              <w:pStyle w:val="Normal"/>
              <w:snapToGrid w:val="false"/>
              <w:jc w:val="both"/>
              <w:rPr>
                <w:b/>
                <w:bCs/>
              </w:rPr>
            </w:pPr>
            <w:r>
              <w:rPr>
                <w:b/>
                <w:bCs/>
              </w:rPr>
            </w:r>
          </w:p>
          <w:p>
            <w:pPr>
              <w:pStyle w:val="Normal"/>
              <w:jc w:val="both"/>
              <w:rPr/>
            </w:pPr>
            <w:r>
              <w:rPr/>
              <w:fldChar w:fldCharType="begin"/>
            </w:r>
            <w:r>
              <w:rPr/>
              <w:instrText xml:space="preserve"> MERGEFIELD QtyPerPeriod </w:instrText>
            </w:r>
            <w:r>
              <w:rPr/>
              <w:fldChar w:fldCharType="separate"/>
            </w:r>
            <w:r>
              <w:rPr/>
              <w:t>1,800 MMBtu per day</w:t>
            </w:r>
            <w:r>
              <w:rPr/>
              <w:fldChar w:fldCharType="end"/>
            </w:r>
          </w:p>
          <w:p>
            <w:pPr>
              <w:pStyle w:val="Normal"/>
              <w:jc w:val="both"/>
              <w:rPr/>
            </w:pPr>
            <w:r>
              <w:rPr/>
              <w:t>Requirements Quantity Obligation at Buyer’s West Hollow plant located in Harris County, Texas (“Buyer’s Plant”).  Buyer shall Schedule or cause to be Scheduled at the Delivery Point on a firm basis each Gas Day 100% of the total quantity of Gas required by Buyer to meet its system supply and operating needs on such Gas Day.  Buyer further agrees not to purchase Gas from any entity other than Seller except to the extent one or more of the following events occur:  (i) Seller fails to meet its quantity obligations under Section 3.1 for any reason including Force Majeure; or (ii) Buyer’s requirements exceed the MaxDQ.</w:t>
            </w:r>
          </w:p>
        </w:tc>
      </w:tr>
      <w:tr>
        <w:trPr/>
        <w:tc>
          <w:tcPr>
            <w:tcW w:w="3618" w:type="dxa"/>
            <w:tcBorders/>
          </w:tcPr>
          <w:p>
            <w:pPr>
              <w:pStyle w:val="Normal"/>
              <w:snapToGrid w:val="false"/>
              <w:rPr/>
            </w:pPr>
            <w:r>
              <w:rPr/>
            </w:r>
          </w:p>
        </w:tc>
        <w:tc>
          <w:tcPr>
            <w:tcW w:w="6228" w:type="dxa"/>
            <w:tcBorders/>
          </w:tcPr>
          <w:p>
            <w:pPr>
              <w:pStyle w:val="Normal"/>
              <w:snapToGrid w:val="false"/>
              <w:rPr/>
            </w:pPr>
            <w:r>
              <w:rPr/>
            </w:r>
          </w:p>
        </w:tc>
      </w:tr>
      <w:tr>
        <w:trPr/>
        <w:tc>
          <w:tcPr>
            <w:tcW w:w="3618" w:type="dxa"/>
            <w:tcBorders/>
          </w:tcPr>
          <w:p>
            <w:pPr>
              <w:pStyle w:val="Normal"/>
              <w:rPr>
                <w:b/>
              </w:rPr>
            </w:pPr>
            <w:r>
              <w:rPr>
                <w:b/>
              </w:rPr>
              <w:t>DELIVERY POINT:</w:t>
            </w:r>
          </w:p>
        </w:tc>
        <w:tc>
          <w:tcPr>
            <w:tcW w:w="6228" w:type="dxa"/>
            <w:tcBorders/>
          </w:tcPr>
          <w:p>
            <w:pPr>
              <w:pStyle w:val="Normal"/>
              <w:jc w:val="both"/>
              <w:rPr/>
            </w:pPr>
            <w:r>
              <w:rPr/>
              <w:t>The interconnection of the Westhollow 4” pipeline and Seller’s 20” pipeline located upstream of Seller’s Meter No. 1514.</w:t>
            </w:r>
          </w:p>
        </w:tc>
      </w:tr>
      <w:tr>
        <w:trPr/>
        <w:tc>
          <w:tcPr>
            <w:tcW w:w="3618" w:type="dxa"/>
            <w:tcBorders/>
          </w:tcPr>
          <w:p>
            <w:pPr>
              <w:pStyle w:val="Normal"/>
              <w:snapToGrid w:val="false"/>
              <w:rPr/>
            </w:pPr>
            <w:r>
              <w:rPr/>
            </w:r>
          </w:p>
        </w:tc>
        <w:tc>
          <w:tcPr>
            <w:tcW w:w="6228" w:type="dxa"/>
            <w:tcBorders/>
          </w:tcPr>
          <w:p>
            <w:pPr>
              <w:pStyle w:val="Normal"/>
              <w:snapToGrid w:val="false"/>
              <w:rPr/>
            </w:pPr>
            <w:r>
              <w:rPr/>
            </w:r>
          </w:p>
        </w:tc>
      </w:tr>
      <w:tr>
        <w:trPr/>
        <w:tc>
          <w:tcPr>
            <w:tcW w:w="3618" w:type="dxa"/>
            <w:tcBorders/>
          </w:tcPr>
          <w:p>
            <w:pPr>
              <w:pStyle w:val="Normal"/>
              <w:rPr>
                <w:b/>
              </w:rPr>
            </w:pPr>
            <w:r>
              <w:rPr>
                <w:b/>
              </w:rPr>
              <w:t>PERIOD OF DELIVERY:</w:t>
            </w:r>
          </w:p>
        </w:tc>
        <w:tc>
          <w:tcPr>
            <w:tcW w:w="6228" w:type="dxa"/>
            <w:tcBorders/>
          </w:tcPr>
          <w:p>
            <w:pPr>
              <w:pStyle w:val="Normal"/>
              <w:jc w:val="both"/>
              <w:rPr/>
            </w:pPr>
            <w:r>
              <w:rPr/>
              <w:fldChar w:fldCharType="begin"/>
            </w:r>
            <w:r>
              <w:rPr/>
              <w:instrText xml:space="preserve"> MERGEFIELD DeliveryPeriod </w:instrText>
            </w:r>
            <w:r>
              <w:rPr/>
              <w:fldChar w:fldCharType="separate"/>
            </w:r>
            <w:r>
              <w:rPr/>
              <w:t>February 01, 2001 through January 31, 20</w:t>
            </w:r>
            <w:r>
              <w:rPr/>
              <w:fldChar w:fldCharType="end"/>
            </w:r>
            <w:r>
              <w:rPr/>
              <w:t>04.</w:t>
            </w:r>
          </w:p>
        </w:tc>
      </w:tr>
      <w:tr>
        <w:trPr/>
        <w:tc>
          <w:tcPr>
            <w:tcW w:w="3618" w:type="dxa"/>
            <w:tcBorders/>
          </w:tcPr>
          <w:p>
            <w:pPr>
              <w:pStyle w:val="Normal"/>
              <w:snapToGrid w:val="false"/>
              <w:rPr/>
            </w:pPr>
            <w:r>
              <w:rPr/>
            </w:r>
          </w:p>
        </w:tc>
        <w:tc>
          <w:tcPr>
            <w:tcW w:w="6228" w:type="dxa"/>
            <w:tcBorders/>
          </w:tcPr>
          <w:p>
            <w:pPr>
              <w:pStyle w:val="Normal"/>
              <w:snapToGrid w:val="false"/>
              <w:rPr/>
            </w:pPr>
            <w:r>
              <w:rPr/>
            </w:r>
          </w:p>
        </w:tc>
      </w:tr>
      <w:tr>
        <w:trPr/>
        <w:tc>
          <w:tcPr>
            <w:tcW w:w="3618" w:type="dxa"/>
            <w:tcBorders/>
          </w:tcPr>
          <w:p>
            <w:pPr>
              <w:pStyle w:val="Normal"/>
              <w:rPr>
                <w:b/>
              </w:rPr>
            </w:pPr>
            <w:r>
              <w:rPr>
                <w:b/>
              </w:rPr>
              <w:t xml:space="preserve">CONTRACT PRICE </w:t>
            </w:r>
          </w:p>
          <w:p>
            <w:pPr>
              <w:pStyle w:val="Normal"/>
              <w:rPr>
                <w:b/>
              </w:rPr>
            </w:pPr>
            <w:r>
              <w:rPr>
                <w:b/>
              </w:rPr>
              <w:t>(PER MMBTU):</w:t>
            </w:r>
          </w:p>
        </w:tc>
        <w:tc>
          <w:tcPr>
            <w:tcW w:w="6228" w:type="dxa"/>
            <w:tcBorders/>
          </w:tcPr>
          <w:p>
            <w:pPr>
              <w:pStyle w:val="Normal"/>
              <w:snapToGrid w:val="false"/>
              <w:jc w:val="both"/>
              <w:rPr/>
            </w:pPr>
            <w:r>
              <w:rPr/>
            </w:r>
          </w:p>
          <w:p>
            <w:pPr>
              <w:pStyle w:val="Normal"/>
              <w:jc w:val="both"/>
              <w:rPr/>
            </w:pPr>
            <w:r>
              <w:rPr/>
              <w:t xml:space="preserve">The “Index Price” appearing in </w:t>
            </w:r>
            <w:r>
              <w:rPr>
                <w:u w:val="single"/>
              </w:rPr>
              <w:t>Inside F.E.R.C.’s Gas Market Report</w:t>
            </w:r>
            <w:r>
              <w:rPr/>
              <w:t xml:space="preserve"> from the table entitled Delivered Spot-Gas Prices, for Houston Ship Channel/Beaumont, Texas Indes (large packages only) as published in the first-of-the-month publication for the month of delivery plus a commodity differential of $0.055 per MMBtu.</w:t>
            </w:r>
          </w:p>
        </w:tc>
      </w:tr>
      <w:tr>
        <w:trPr/>
        <w:tc>
          <w:tcPr>
            <w:tcW w:w="3618" w:type="dxa"/>
            <w:tcBorders/>
          </w:tcPr>
          <w:p>
            <w:pPr>
              <w:pStyle w:val="Normal"/>
              <w:snapToGrid w:val="false"/>
              <w:rPr/>
            </w:pPr>
            <w:r>
              <w:rPr/>
            </w:r>
          </w:p>
        </w:tc>
        <w:tc>
          <w:tcPr>
            <w:tcW w:w="6228" w:type="dxa"/>
            <w:tcBorders/>
          </w:tcPr>
          <w:p>
            <w:pPr>
              <w:pStyle w:val="Normal"/>
              <w:snapToGrid w:val="false"/>
              <w:rPr/>
            </w:pPr>
            <w:r>
              <w:rPr/>
            </w:r>
          </w:p>
        </w:tc>
      </w:tr>
    </w:tbl>
    <w:p>
      <w:pPr>
        <w:pStyle w:val="Normal"/>
        <w:tabs>
          <w:tab w:val="clear" w:pos="720"/>
          <w:tab w:val="left" w:pos="3600" w:leader="none"/>
        </w:tabs>
        <w:ind w:hanging="3600" w:start="3600" w:end="0"/>
        <w:jc w:val="both"/>
        <w:rPr/>
      </w:pPr>
      <w:r>
        <w:rPr>
          <w:b/>
          <w:bCs/>
        </w:rPr>
        <w:t>SPOT PRICE LOCATION:</w:t>
        <w:tab/>
      </w:r>
      <w:r>
        <w:rPr/>
        <w:t>East Houston Katy – Houston Ship Channel</w:t>
      </w:r>
    </w:p>
    <w:p>
      <w:pPr>
        <w:pStyle w:val="Normal"/>
        <w:rPr>
          <w:b/>
          <w:bCs/>
        </w:rPr>
      </w:pPr>
      <w:r>
        <w:rPr>
          <w:b/>
          <w:bCs/>
        </w:rPr>
      </w:r>
    </w:p>
    <w:p>
      <w:pPr>
        <w:pStyle w:val="Normal"/>
        <w:tabs>
          <w:tab w:val="clear" w:pos="720"/>
          <w:tab w:val="left" w:pos="3600" w:leader="none"/>
        </w:tabs>
        <w:ind w:hanging="3600" w:start="3600" w:end="0"/>
        <w:jc w:val="both"/>
        <w:rPr/>
      </w:pPr>
      <w:r>
        <w:rPr>
          <w:b/>
          <w:bCs/>
        </w:rPr>
        <w:t>OTHER:</w:t>
        <w:tab/>
      </w:r>
      <w:r>
        <w:rPr/>
        <w:t>N/A.</w:t>
      </w:r>
    </w:p>
    <w:p>
      <w:pPr>
        <w:pStyle w:val="Normal"/>
        <w:tabs>
          <w:tab w:val="clear" w:pos="720"/>
          <w:tab w:val="left" w:pos="3330" w:leader="none"/>
        </w:tabs>
        <w:ind w:hanging="3330" w:start="3330" w:end="0"/>
        <w:jc w:val="both"/>
        <w:rPr>
          <w:b/>
          <w:bCs/>
        </w:rPr>
      </w:pPr>
      <w:r>
        <w:rPr>
          <w:b/>
          <w:bCs/>
        </w:rPr>
        <w:tab/>
        <w:tab/>
        <w:tab/>
      </w:r>
    </w:p>
    <w:p>
      <w:pPr>
        <w:pStyle w:val="Normal"/>
        <w:jc w:val="both"/>
        <w:rPr/>
      </w:pPr>
      <w:r>
        <w:rPr/>
        <w:t>This Transaction Agreement is being provided pursuant to and in accordance with the ENFOLIO Master Firm Purchase/Sales Agreement dated effective as of February 1, 1998 between Customer and Company (assignee of HPL Resources Company), and constitutes part of and is subject to all of the terms and provisions of such Agreement.  All capitalized terms herein used, but not defined, shall have the meanings set forth in the Agreement.  Any objection of Customer to this Transaction Agreement must be made by written notice to Company prior to the Confirm Deadline, as agreed and defined in the Agreement.</w:t>
      </w:r>
    </w:p>
    <w:p>
      <w:pPr>
        <w:pStyle w:val="Normal"/>
        <w:jc w:val="both"/>
        <w:rPr/>
      </w:pPr>
      <w:r>
        <w:rPr/>
      </w:r>
    </w:p>
    <w:p>
      <w:pPr>
        <w:pStyle w:val="Normal"/>
        <w:jc w:val="both"/>
        <w:rPr/>
      </w:pPr>
      <w:r>
        <w:rPr/>
        <w:t>Please confirm that the terms stated herein accurately reflect the agreement reached between Buyer and Seller by returning an executed copy of this letter to Seller.</w:t>
      </w:r>
    </w:p>
    <w:p>
      <w:pPr>
        <w:pStyle w:val="Normal"/>
        <w:rPr/>
      </w:pPr>
      <w:r>
        <w:rPr/>
      </w:r>
    </w:p>
    <w:p>
      <w:pPr>
        <w:pStyle w:val="Normal"/>
        <w:rPr/>
      </w:pPr>
      <w:r>
        <w:rPr/>
      </w:r>
    </w:p>
    <w:p>
      <w:pPr>
        <w:pStyle w:val="Heading2"/>
        <w:ind w:hanging="0" w:start="0"/>
        <w:rPr/>
      </w:pPr>
      <w:r>
        <w:rPr/>
        <w:t>SHELL CHEMICAL COMPANY</w:t>
        <w:tab/>
        <w:tab/>
        <w:tab/>
        <w:t>HOUSTON PIPE LINE COMPANY</w:t>
      </w:r>
    </w:p>
    <w:p>
      <w:pPr>
        <w:pStyle w:val="Normal"/>
        <w:rPr/>
      </w:pPr>
      <w:r>
        <w:rPr/>
      </w:r>
    </w:p>
    <w:p>
      <w:pPr>
        <w:pStyle w:val="Heading2"/>
        <w:ind w:hanging="0" w:start="0"/>
        <w:rPr/>
      </w:pPr>
      <w:r>
        <w:rPr/>
      </w:r>
    </w:p>
    <w:p>
      <w:pPr>
        <w:pStyle w:val="Normal"/>
        <w:rPr/>
      </w:pPr>
      <w:r>
        <w:rPr/>
        <w:t>By: _________________________________</w:t>
        <w:tab/>
        <w:t>By: ____________________________</w:t>
      </w:r>
    </w:p>
    <w:p>
      <w:pPr>
        <w:pStyle w:val="Normal"/>
        <w:rPr/>
      </w:pPr>
      <w:r>
        <w:rPr/>
        <w:t>Title ________________________________</w:t>
        <w:tab/>
        <w:t>Title ___________________________</w:t>
      </w:r>
    </w:p>
    <w:p>
      <w:pPr>
        <w:pStyle w:val="Normal"/>
        <w:rPr/>
      </w:pPr>
      <w:r>
        <w:rPr/>
        <w:t>Date________________________________</w:t>
        <w:tab/>
        <w:tab/>
        <w:t>Date___________________________</w:t>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Liberation Sans">
    <w:altName w:val="Arial"/>
    <w:charset w:val="01" w:characterSet="utf-8"/>
    <w:family w:val="swiss"/>
    <w:pitch w:val="variable"/>
  </w:font>
  <w:font w:name="Tahoma">
    <w:charset w:val="00" w:characterSet="windows-1252"/>
    <w:family w:val="swiss"/>
    <w:pitch w:val="variable"/>
  </w:font>
  <w:font w:name="CG Times (W1)">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/mnt/main-storage/datasets/enron-docs/doc/2001_017crfm.doc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r>
  </w:p>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/mnt/main-storage/datasets/enron-docs/doc/2001_017crfm.doc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Shell Chemical Company</w:t>
    </w:r>
  </w:p>
  <w:p>
    <w:pPr>
      <w:pStyle w:val="Header"/>
      <w:rPr/>
    </w:pPr>
    <w:r>
      <w:rPr/>
      <w:t>February 2, 2001</w:t>
    </w:r>
  </w:p>
  <w:p>
    <w:pPr>
      <w:pStyle w:val="Header"/>
      <w:rPr/>
    </w:pPr>
    <w:r>
      <w:rPr/>
      <w:t xml:space="preserve">Page </w:t>
    </w:r>
    <w:r>
      <w:rPr/>
      <w:fldChar w:fldCharType="begin"/>
    </w:r>
    <w:r>
      <w:rPr/>
      <w:instrText xml:space="preserve"> PAGE </w:instrText>
    </w:r>
    <w:r>
      <w:rPr/>
      <w:fldChar w:fldCharType="separate"/>
    </w:r>
    <w:r>
      <w:rPr/>
      <w:t>2</w:t>
    </w:r>
    <w:r>
      <w:rPr/>
      <w:fldChar w:fldCharType="end"/>
    </w:r>
  </w:p>
  <w:p>
    <w:pPr>
      <w:pStyle w:val="Header"/>
      <w:rPr>
        <w:u w:val="single"/>
      </w:rPr>
    </w:pPr>
    <w:r>
      <w:rPr>
        <w:u w:val="single"/>
      </w:rPr>
      <w:tab/>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b/>
        <w:sz w:val="20"/>
      </w:rPr>
    </w:pPr>
    <w:r>
      <w:rPr>
        <w:b/>
        <w:sz w:val="20"/>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snapToGrid w:val="false"/>
            <w:rPr/>
          </w:pPr>
          <w:r>
            <w:rPr/>
          </w:r>
        </w:p>
      </w:tc>
      <w:tc>
        <w:tcPr>
          <w:tcW w:w="4788" w:type="dxa"/>
          <w:tcBorders/>
        </w:tcPr>
        <w:p>
          <w:pPr>
            <w:pStyle w:val="Normal"/>
            <w:tabs>
              <w:tab w:val="clear" w:pos="720"/>
              <w:tab w:val="left" w:pos="2412" w:leader="none"/>
            </w:tabs>
            <w:snapToGrid w:val="false"/>
            <w:ind w:start="1962" w:end="0"/>
            <w:rPr>
              <w:sz w:val="20"/>
            </w:rPr>
          </w:pPr>
          <w:r>
            <w:rPr>
              <w:sz w:val="20"/>
            </w:rPr>
          </w:r>
        </w:p>
      </w:tc>
    </w:tr>
  </w:tbl>
  <w:p>
    <w:pPr>
      <w:pStyle w:val="Normal"/>
      <w:rPr>
        <w:rFonts w:ascii="CG Times (W1);Times New Roman" w:hAnsi="CG Times (W1);Times New Roman" w:cs="CG Times (W1);Times New Roman"/>
        <w:sz w:val="18"/>
      </w:rPr>
    </w:pPr>
    <w:r>
      <w:rPr>
        <w:rFonts w:cs="CG Times (W1);Times New Roman" w:ascii="CG Times (W1);Times New Roman" w:hAnsi="CG Times (W1);Times New Roman"/>
        <w:sz w:val="18"/>
      </w:rPr>
    </w:r>
  </w:p>
  <w:p>
    <w:pPr>
      <w:pStyle w:val="Header"/>
      <w:rPr>
        <w:rFonts w:ascii="CG Times (W1);Times New Roman" w:hAnsi="CG Times (W1);Times New Roman" w:cs="CG Times (W1);Times New Roman"/>
        <w:sz w:val="18"/>
      </w:rPr>
    </w:pPr>
    <w:r>
      <w:rPr>
        <w:rFonts w:cs="CG Times (W1);Times New Roman" w:ascii="CG Times (W1);Times New Roman" w:hAnsi="CG Times (W1);Times New Roman"/>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720"/>
        <w:tab w:val="left" w:pos="2412" w:leader="none"/>
      </w:tabs>
      <w:ind w:hanging="0" w:start="1962" w:end="0"/>
      <w:outlineLvl w:val="0"/>
    </w:pPr>
    <w:rPr>
      <w:i/>
      <w:sz w:val="22"/>
    </w:rPr>
  </w:style>
  <w:style w:type="paragraph" w:styleId="Heading2">
    <w:name w:val="heading 2"/>
    <w:basedOn w:val="Normal"/>
    <w:next w:val="Normal"/>
    <w:qFormat/>
    <w:pPr>
      <w:keepNext w:val="true"/>
      <w:numPr>
        <w:ilvl w:val="1"/>
        <w:numId w:val="1"/>
      </w:numPr>
      <w:outlineLvl w:val="1"/>
    </w:pPr>
    <w:rPr>
      <w:b/>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ind w:hanging="0" w:start="720" w:end="0"/>
      <w:jc w:val="both"/>
    </w:pPr>
    <w:rPr/>
  </w:style>
  <w:style w:type="paragraph" w:styleId="BlockText">
    <w:name w:val="Block Text"/>
    <w:basedOn w:val="Normal"/>
    <w:qFormat/>
    <w:pPr>
      <w:ind w:hanging="360" w:start="360" w:end="-198"/>
    </w:pPr>
    <w:rPr>
      <w:b/>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2001-02-02T11:27:00Z</dcterms:created>
  <dc:creator>ECT</dc:creator>
  <dc:description/>
  <dc:language>en-CA</dc:language>
  <cp:lastModifiedBy>dhyvl</cp:lastModifiedBy>
  <cp:lastPrinted>2001-02-02T08:34:00Z</cp:lastPrinted>
  <dcterms:modified xsi:type="dcterms:W3CDTF">2001-02-02T12:04:00Z</dcterms:modified>
  <cp:revision>5</cp:revision>
  <dc:subject>El Paso Merchant Energy, L.P.</dc:subject>
  <dc:title>QL7588.1</dc:title>
</cp:coreProperties>
</file>