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footer8.xml" ContentType="application/vnd.openxmlformats-officedocument.wordprocessingml.footer+xml"/>
  <Override PartName="/word/footer7.xml" ContentType="application/vnd.openxmlformats-officedocument.wordprocessingml.footer+xml"/>
  <Override PartName="/word/embeddings/oleObject1.bin" ContentType="application/vnd.openxmlformats-officedocument.oleObject"/>
  <Override PartName="/word/document.xml" ContentType="application/vnd.openxmlformats-officedocument.wordprocessingml.document.main+xml"/>
  <Override PartName="/word/footer6.xml" ContentType="application/vnd.openxmlformats-officedocument.wordprocessingml.footer+xml"/>
  <Override PartName="/word/footer5.xml" ContentType="application/vnd.openxmlformats-officedocument.wordprocessingml.footer+xml"/>
  <Override PartName="/word/media/image1.wmf" ContentType="image/x-wmf"/>
  <Override PartName="/word/fontTable.xml" ContentType="application/vnd.openxmlformats-officedocument.wordprocessingml.fontTable+xml"/>
  <Override PartName="/word/numbering.xml" ContentType="application/vnd.openxmlformats-officedocument.wordprocessingml.numbering+xml"/>
  <Override PartName="/word/footer10.xml" ContentType="application/vnd.openxmlformats-officedocument.wordprocessingml.footer+xml"/>
  <Override PartName="/word/footer9.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Houston Pipe Line Company, a Delaware corporation ("</w:t>
      </w:r>
      <w:r>
        <w:rPr>
          <w:rFonts w:cs="Arial Narrow" w:ascii="Arial Narrow" w:hAnsi="Arial Narrow"/>
          <w:sz w:val="18"/>
          <w:u w:val="single"/>
        </w:rPr>
        <w:t>Company</w:t>
      </w:r>
      <w:r>
        <w:rPr>
          <w:rFonts w:cs="Arial Narrow" w:ascii="Arial Narrow" w:hAnsi="Arial Narrow"/>
          <w:sz w:val="18"/>
        </w:rPr>
        <w:t>"), and Haldor-Topsoe, Inc., a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April,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w:t>
      </w:r>
      <w:r>
        <w:rPr>
          <w:rFonts w:cs="Arial Narrow" w:ascii="Arial Narrow" w:hAnsi="Arial Narrow"/>
          <w:b/>
          <w:sz w:val="18"/>
        </w:rPr>
        <w:t xml:space="preserve"> </w:t>
      </w: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Cs/>
          <w:sz w:val="18"/>
        </w:rPr>
        <w:t>Enron Corp.</w:t>
      </w:r>
      <w:r>
        <w:rPr>
          <w:rFonts w:cs="Arial Narrow" w:ascii="Arial Narrow" w:hAnsi="Arial Narrow"/>
          <w:sz w:val="18"/>
        </w:rPr>
        <w:t xml:space="preserve"> shall have defaulted on its indebtedness to third parties resulting in an acceleration of obligations of Enron Corp. in excess of $100,000,000.00, or with respect to Customer, at any time, Customer shall have defaulted on its indebted</w:t>
        <w:softHyphen/>
        <w:t>ness to third parties, resulting in an acceleration of obligations of Customer in excess of $1,000,000.00.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(and notwithstanding whether a Triggering Event has occurred) the Termination Payment that would be owed to Company in respect of all Transactions then outstanding should exceed $700,000.00, Company as the Beneficiary Party may request Customer to establish a Letter of Credit as the Account Party in an amount equal to the Termination Payment in excess of $700,000.00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or such other collateral as may be reasonably acceptable to the Beneficiary Party.  (b) If at any time and from time to time during the term of this Agreement (and notwithstanding whether a Triggering Event has occurred) the Termination Payment that would be owed to Customer in respect of all Transactions then outstanding should exceed $10,000,000.00, Customer as the Beneficiary Party may request Company to establish a Letter of Credit as the Account Party in an amount equal to the Termination Payment in excess of $10,000,000.00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or such other collateral as may be reasonably acceptable to the Beneficiary Party The Letter of Credit or other collateral shall be delivered within two Business Days of the date of such notice.  (c)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$100,000.00).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w:t>
      </w:r>
      <w:r>
        <w:rPr>
          <w:rFonts w:cs="Arial Narrow" w:ascii="Arial Narrow" w:hAnsi="Arial Narrow"/>
          <w:b/>
          <w:caps/>
          <w:sz w:val="18"/>
        </w:rPr>
        <w:t xml:space="preserve">see rider anticipatory repudiation  </w:t>
      </w:r>
      <w:r>
        <w:rPr>
          <w:rFonts w:cs="Arial Narrow" w:ascii="Arial Narrow" w:hAnsi="Arial Narrow"/>
          <w:caps/>
          <w:sz w:val="18"/>
        </w:rPr>
        <w:t xml:space="preserve">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Prior Agreement</w:t>
      </w:r>
      <w:r>
        <w:rPr>
          <w:rFonts w:cs="Arial Narrow" w:ascii="Arial Narrow" w:hAnsi="Arial Narrow"/>
          <w:sz w:val="18"/>
        </w:rPr>
        <w:t>.  Reference is heremade to that certain Gas Sales Contract dated November 30, 1994 by and between Customer and Company.  Company and Customer hereby agree that such Gas Sales Contract dated November 30, 1994 is hereby terminated effective as of August 31, 2002.</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HOUSTON PIPE LINE COMPANY</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HALDOR-TOPSOE, INC.</w:t>
      </w:r>
    </w:p>
    <w:p>
      <w:pPr>
        <w:pStyle w:val="Normal"/>
        <w:tabs>
          <w:tab w:val="clear" w:pos="720"/>
          <w:tab w:val="left" w:pos="4050" w:leader="none"/>
          <w:tab w:val="left" w:pos="5400" w:leader="none"/>
          <w:tab w:val="left" w:pos="9360" w:leader="none"/>
        </w:tabs>
        <w:rPr>
          <w:rFonts w:ascii="Arial Narrow" w:hAnsi="Arial Narrow" w:cs="Arial Narrow"/>
          <w:b/>
          <w:bCs/>
          <w:sz w:val="18"/>
          <w:u w:val="single"/>
        </w:rPr>
      </w:pPr>
      <w:r>
        <w:rPr>
          <w:rFonts w:cs="Arial Narrow" w:ascii="Arial Narrow" w:hAnsi="Arial Narrow"/>
          <w:b/>
          <w:bCs/>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rFonts w:ascii="Arial Narrow" w:hAnsi="Arial Narrow" w:cs="Arial Narrow"/>
          <w:i/>
          <w:i/>
          <w:sz w:val="18"/>
        </w:rPr>
      </w:pPr>
      <w:r>
        <w:rPr>
          <w:rFonts w:cs="Arial Narrow" w:ascii="Arial Narrow" w:hAnsi="Arial Narrow"/>
          <w:sz w:val="18"/>
        </w:rPr>
        <w:t>“</w:t>
      </w:r>
      <w:r>
        <w:rPr>
          <w:rFonts w:cs="Arial Narrow" w:ascii="Arial Narrow" w:hAnsi="Arial Narrow"/>
          <w:b/>
          <w:bCs/>
          <w:i/>
          <w:iCs/>
          <w:sz w:val="18"/>
          <w:u w:val="single"/>
        </w:rPr>
        <w:t>Depreciation, Depletion and Amortization Expense</w:t>
      </w:r>
      <w:r>
        <w:rPr>
          <w:rFonts w:cs="Arial Narrow" w:ascii="Arial Narrow" w:hAnsi="Arial Narrow"/>
          <w:sz w:val="18"/>
        </w:rPr>
        <w:t>”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EBITDA</w:t>
      </w:r>
      <w:r>
        <w:rPr>
          <w:rFonts w:cs="Arial Narrow" w:ascii="Arial Narrow" w:hAnsi="Arial Narrow"/>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EBITDA Coverage Ratio</w:t>
      </w:r>
      <w:r>
        <w:rPr>
          <w:rFonts w:cs="Arial Narrow" w:ascii="Arial Narrow" w:hAnsi="Arial Narrow"/>
          <w:sz w:val="18"/>
        </w:rPr>
        <w:t>”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Interest Expense</w:t>
      </w:r>
      <w:r>
        <w:rPr>
          <w:rFonts w:cs="Arial Narrow" w:ascii="Arial Narrow" w:hAnsi="Arial Narrow"/>
          <w:sz w:val="18"/>
        </w:rPr>
        <w:t>”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Party B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means (i) with respect to Company, Enron Corp. shall have long-term debt unsupported by third party credit enhancement that is rated by Standard &amp; Poor's Corporation below BBB- or (ii) with respect to Customer, Customer shall have either (a) Funded Debt at any one time which exceeds 120% of Net Worth or (b) Net Worth below $20,000,000, or (c) a EBITDA Coverage Ratio that is less than 4.5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bCs/>
          <w:i/>
          <w:iCs/>
          <w:sz w:val="18"/>
          <w:u w:val="single"/>
        </w:rPr>
        <w:t>Net Income</w:t>
      </w:r>
      <w:r>
        <w:rPr>
          <w:rFonts w:cs="Arial Narrow" w:ascii="Arial Narrow" w:hAnsi="Arial Narrow"/>
          <w:sz w:val="18"/>
        </w:rPr>
        <w:t>” means consolidated gross revenues of Customer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of Texas or sold to another party which will subsequently sell, consume, transport or otherwise use the Gas outside the state of Texas where such event would subject an intrastate Transporter to the jurisdiction of the Federal Energy Regulatory Commission or any successor authority under the Natural Gas Act of 1938.</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Company’s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Company’s nomination deadline for the applicable Gas Day.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Company.</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measurement criteria contained in Company’s standard intrastate gas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Payments,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Payments, if by wire: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Haldor-Topsoe,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t>Haldor-Topsoe,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t>Haldor-Topsoe, Inc.</w:t>
      </w:r>
    </w:p>
    <w:p>
      <w:pPr>
        <w:pStyle w:val="Normal"/>
        <w:jc w:val="both"/>
        <w:rPr>
          <w:rFonts w:ascii="Arial Narrow" w:hAnsi="Arial Narrow" w:cs="Arial Narrow"/>
          <w:sz w:val="18"/>
        </w:rPr>
      </w:pPr>
      <w:r>
        <w:rPr>
          <w:rFonts w:cs="Arial Narrow" w:ascii="Arial Narrow" w:hAnsi="Arial Narrow"/>
          <w:sz w:val="18"/>
        </w:rPr>
        <w:t>17629 El Camino Real</w:t>
      </w:r>
    </w:p>
    <w:p>
      <w:pPr>
        <w:pStyle w:val="Normal"/>
        <w:jc w:val="both"/>
        <w:rPr>
          <w:rFonts w:ascii="Arial Narrow" w:hAnsi="Arial Narrow" w:cs="Arial Narrow"/>
          <w:sz w:val="18"/>
        </w:rPr>
      </w:pPr>
      <w:r>
        <w:rPr>
          <w:rFonts w:cs="Arial Narrow" w:ascii="Arial Narrow" w:hAnsi="Arial Narrow"/>
          <w:sz w:val="18"/>
        </w:rPr>
        <w:t>Suite 300</w:t>
      </w:r>
    </w:p>
    <w:p>
      <w:pPr>
        <w:pStyle w:val="Normal"/>
        <w:jc w:val="both"/>
        <w:rPr>
          <w:rFonts w:ascii="Arial Narrow" w:hAnsi="Arial Narrow" w:cs="Arial Narrow"/>
          <w:sz w:val="18"/>
        </w:rPr>
      </w:pPr>
      <w:r>
        <w:rPr>
          <w:rFonts w:cs="Arial Narrow" w:ascii="Arial Narrow" w:hAnsi="Arial Narrow"/>
          <w:sz w:val="18"/>
        </w:rPr>
        <w:t>Houston, Texas  77058</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ind w:hanging="3600" w:start="3600" w:end="0"/>
        <w:jc w:val="center"/>
        <w:rPr>
          <w:rFonts w:ascii="Arial Narrow" w:hAnsi="Arial Narrow" w:cs="Arial Narrow"/>
          <w:b/>
          <w:sz w:val="18"/>
        </w:rPr>
      </w:pPr>
      <w:r>
        <w:rPr>
          <w:rFonts w:cs="Arial Narrow" w:ascii="Arial Narrow" w:hAnsi="Arial Narrow"/>
          <w:b/>
          <w:sz w:val="18"/>
        </w:rPr>
      </w:r>
    </w:p>
    <w:p>
      <w:pPr>
        <w:pStyle w:val="Normal"/>
        <w:ind w:hanging="3600" w:start="3600" w:end="0"/>
        <w:jc w:val="center"/>
        <w:rPr/>
      </w:pPr>
      <w:r>
        <w:rPr/>
      </w:r>
    </w:p>
    <w:p>
      <w:pPr>
        <w:pStyle w:val="Normal"/>
        <w:ind w:hanging="3600" w:start="3600" w:end="0"/>
        <w:jc w:val="center"/>
        <w:rPr/>
      </w:pPr>
      <w:r>
        <w:rPr/>
        <w:t>April 25, 2001</w:t>
      </w:r>
    </w:p>
    <w:p>
      <w:pPr>
        <w:pStyle w:val="Normal"/>
        <w:rPr/>
      </w:pPr>
      <w:r>
        <w:rPr/>
      </w:r>
    </w:p>
    <w:p>
      <w:pPr>
        <w:pStyle w:val="Normal"/>
        <w:rPr/>
      </w:pPr>
      <w:r>
        <w:rPr/>
      </w:r>
    </w:p>
    <w:p>
      <w:pPr>
        <w:pStyle w:val="Normal"/>
        <w:rPr/>
      </w:pPr>
      <w:r>
        <w:rPr/>
        <w:t>Haldor-Topsoe, Inc.</w:t>
      </w:r>
    </w:p>
    <w:p>
      <w:pPr>
        <w:pStyle w:val="Normal"/>
        <w:rPr/>
      </w:pPr>
      <w:r>
        <w:rPr/>
        <w:t>17629 El Camino Real</w:t>
      </w:r>
    </w:p>
    <w:p>
      <w:pPr>
        <w:pStyle w:val="Normal"/>
        <w:rPr/>
      </w:pPr>
      <w:r>
        <w:rPr/>
        <w:t>Suite 300</w:t>
      </w:r>
    </w:p>
    <w:p>
      <w:pPr>
        <w:pStyle w:val="Normal"/>
        <w:rPr/>
      </w:pPr>
      <w:r>
        <w:rPr/>
        <w:t>Houston, Texas  77058</w:t>
      </w:r>
    </w:p>
    <w:p>
      <w:pPr>
        <w:pStyle w:val="Normal"/>
        <w:rPr/>
      </w:pPr>
      <w:r>
        <w:rPr/>
      </w:r>
    </w:p>
    <w:p>
      <w:pPr>
        <w:pStyle w:val="Normal"/>
        <w:rPr/>
      </w:pPr>
      <w:r>
        <w:rPr/>
        <w:tab/>
        <w:t>Attn:</w:t>
        <w:tab/>
        <w:t>Ted Anderson</w:t>
      </w:r>
    </w:p>
    <w:p>
      <w:pPr>
        <w:pStyle w:val="Normal"/>
        <w:rPr/>
      </w:pPr>
      <w:r>
        <w:rPr/>
        <w:tab/>
        <w:tab/>
        <w:t>Vice President, Finance</w:t>
      </w:r>
    </w:p>
    <w:p>
      <w:pPr>
        <w:pStyle w:val="Normal"/>
        <w:rPr/>
      </w:pPr>
      <w:r>
        <w:rPr/>
      </w:r>
    </w:p>
    <w:p>
      <w:pPr>
        <w:pStyle w:val="Normal"/>
        <w:rPr/>
      </w:pPr>
      <w:r>
        <w:rPr/>
      </w:r>
    </w:p>
    <w:p>
      <w:pPr>
        <w:pStyle w:val="BodyText2"/>
        <w:rPr/>
      </w:pPr>
      <w:r>
        <w:rPr/>
        <w:t>TRANSACTION AGREEMENT</w:t>
      </w:r>
    </w:p>
    <w:p>
      <w:pPr>
        <w:pStyle w:val="Normal"/>
        <w:rPr/>
      </w:pPr>
      <w:r>
        <w:rPr/>
      </w:r>
    </w:p>
    <w:p>
      <w:pPr>
        <w:pStyle w:val="Normal"/>
        <w:jc w:val="both"/>
        <w:rPr/>
      </w:pPr>
      <w:r>
        <w:rPr/>
        <w:t xml:space="preserve">This Confirmation Agreement shall form and effectuate the Agreement between </w:t>
      </w:r>
      <w:r>
        <w:rPr>
          <w:b/>
        </w:rPr>
        <w:t xml:space="preserve">Haldor-Topsoe, Inc. </w:t>
      </w:r>
      <w:r>
        <w:rPr/>
        <w:t>(“</w:t>
      </w:r>
      <w:r>
        <w:rPr>
          <w:u w:val="single"/>
        </w:rPr>
        <w:t>Customer</w:t>
      </w:r>
      <w:r>
        <w:rPr/>
        <w:t>” or “</w:t>
      </w:r>
      <w:r>
        <w:rPr>
          <w:u w:val="single"/>
        </w:rPr>
        <w:t>Buyer</w:t>
      </w:r>
      <w:r>
        <w:rPr/>
        <w:t xml:space="preserve">”) and </w:t>
      </w:r>
      <w:r>
        <w:rPr>
          <w:b/>
        </w:rPr>
        <w:t xml:space="preserve">Houston Pipe Line Company </w:t>
      </w:r>
      <w:r>
        <w:rPr/>
        <w:t>(“</w:t>
      </w:r>
      <w:r>
        <w:rPr>
          <w:u w:val="single"/>
        </w:rPr>
        <w:t>Company</w:t>
      </w:r>
      <w:r>
        <w:rPr/>
        <w:t>” or “</w:t>
      </w:r>
      <w:r>
        <w:rPr>
          <w:u w:val="single"/>
        </w:rPr>
        <w:t>Seller</w:t>
      </w:r>
      <w:r>
        <w:rPr/>
        <w:t>”) regarding the firm purchase and sale of Gas transaction under the following terms and conditions.  Customer to purchase and receive and Company to sell and deliver.  Transaction Number _____________.</w:t>
      </w:r>
    </w:p>
    <w:p>
      <w:pPr>
        <w:pStyle w:val="Normal"/>
        <w:rPr/>
      </w:pPr>
      <w:r>
        <w:rPr/>
      </w:r>
    </w:p>
    <w:tbl>
      <w:tblPr>
        <w:tblW w:w="9738" w:type="dxa"/>
        <w:jc w:val="start"/>
        <w:tblInd w:w="0" w:type="dxa"/>
        <w:tblLayout w:type="fixed"/>
        <w:tblCellMar>
          <w:top w:w="0" w:type="dxa"/>
          <w:start w:w="108" w:type="dxa"/>
          <w:bottom w:w="0" w:type="dxa"/>
          <w:end w:w="108" w:type="dxa"/>
        </w:tblCellMar>
      </w:tblPr>
      <w:tblGrid>
        <w:gridCol w:w="3168"/>
        <w:gridCol w:w="6552"/>
        <w:gridCol w:w="18"/>
      </w:tblGrid>
      <w:tr>
        <w:trPr/>
        <w:tc>
          <w:tcPr>
            <w:tcW w:w="3168" w:type="dxa"/>
            <w:tcBorders/>
          </w:tcPr>
          <w:p>
            <w:pPr>
              <w:pStyle w:val="Normal"/>
              <w:rPr>
                <w:b/>
              </w:rPr>
            </w:pPr>
            <w:r>
              <w:rPr>
                <w:b/>
              </w:rPr>
              <w:t>MINIMUM DAILY QUANTITY (“MinDQ”):</w:t>
            </w:r>
          </w:p>
          <w:p>
            <w:pPr>
              <w:pStyle w:val="Normal"/>
              <w:rPr>
                <w:b/>
              </w:rPr>
            </w:pPr>
            <w:r>
              <w:rPr>
                <w:b/>
              </w:rPr>
            </w:r>
          </w:p>
          <w:p>
            <w:pPr>
              <w:pStyle w:val="Normal"/>
              <w:rPr/>
            </w:pPr>
            <w:r>
              <w:rPr>
                <w:b/>
              </w:rPr>
              <w:t>MAXIMUM DAILY QUANTITY (“</w:t>
            </w:r>
            <w:r>
              <w:rPr>
                <w:b/>
                <w:u w:val="single"/>
              </w:rPr>
              <w:t>MaxDQ</w:t>
            </w:r>
            <w:r>
              <w:rPr>
                <w:b/>
              </w:rPr>
              <w:t>”):</w:t>
            </w:r>
          </w:p>
          <w:p>
            <w:pPr>
              <w:pStyle w:val="Normal"/>
              <w:rPr>
                <w:b/>
              </w:rPr>
            </w:pPr>
            <w:r>
              <w:rPr>
                <w:b/>
              </w:rPr>
            </w:r>
          </w:p>
          <w:p>
            <w:pPr>
              <w:pStyle w:val="Normal"/>
              <w:rPr>
                <w:b/>
              </w:rPr>
            </w:pPr>
            <w:r>
              <w:rPr>
                <w:b/>
              </w:rPr>
              <w:t>DAILY CONTRACT QUANTITY (“DCQ”)</w:t>
            </w:r>
          </w:p>
        </w:tc>
        <w:tc>
          <w:tcPr>
            <w:tcW w:w="6570" w:type="dxa"/>
            <w:tcBorders/>
          </w:tcPr>
          <w:p>
            <w:pPr>
              <w:pStyle w:val="BlockText"/>
              <w:snapToGrid w:val="false"/>
              <w:ind w:end="144"/>
              <w:rPr>
                <w:b/>
              </w:rPr>
            </w:pPr>
            <w:r>
              <w:rPr>
                <w:b/>
              </w:rPr>
            </w:r>
          </w:p>
          <w:p>
            <w:pPr>
              <w:pStyle w:val="BlockText"/>
              <w:ind w:end="144"/>
              <w:rPr/>
            </w:pPr>
            <w:r>
              <w:rPr/>
              <w:t>Customer’s total natural gas requirements to be used in and for the operation of Customer’s facility located in Bayport in Harris County, Texas.</w:t>
            </w:r>
          </w:p>
          <w:p>
            <w:pPr>
              <w:pStyle w:val="Normal"/>
              <w:ind w:start="-108" w:end="-144"/>
              <w:rPr/>
            </w:pPr>
            <w:r>
              <w:rPr/>
            </w:r>
          </w:p>
          <w:p>
            <w:pPr>
              <w:pStyle w:val="Normal"/>
              <w:ind w:start="-108" w:end="-144"/>
              <w:rPr/>
            </w:pPr>
            <w:r>
              <w:rPr/>
            </w:r>
          </w:p>
          <w:p>
            <w:pPr>
              <w:pStyle w:val="Normal"/>
              <w:ind w:start="-108" w:end="-144"/>
              <w:rPr/>
            </w:pPr>
            <w:r>
              <w:rPr/>
              <w:t xml:space="preserve">1,000 MMBtu per Day. </w:t>
            </w:r>
          </w:p>
          <w:p>
            <w:pPr>
              <w:pStyle w:val="Normal"/>
              <w:ind w:start="-108" w:end="-144"/>
              <w:rPr/>
            </w:pPr>
            <w:r>
              <w:rPr/>
            </w:r>
          </w:p>
          <w:p>
            <w:pPr>
              <w:pStyle w:val="Normal"/>
              <w:ind w:start="-108" w:end="162"/>
              <w:jc w:val="both"/>
              <w:rPr/>
            </w:pPr>
            <w:r>
              <w:rPr/>
              <w:t>Customer shall nominate a quantity between the MinDQ and the MaxDQ to Company not less than five (5) Business Days prior to the beginning of a Month and once nominated such nominated quantity shall be the DCQ to be purchased and received by Customer each Day during the ensuing Month.</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DELIVERY POINTS:</w:t>
            </w:r>
          </w:p>
        </w:tc>
        <w:tc>
          <w:tcPr>
            <w:tcW w:w="6552" w:type="dxa"/>
            <w:tcBorders/>
          </w:tcPr>
          <w:p>
            <w:pPr>
              <w:pStyle w:val="Normal"/>
              <w:ind w:start="-108" w:end="144"/>
              <w:jc w:val="both"/>
              <w:rPr/>
            </w:pPr>
            <w:r>
              <w:rPr/>
              <w:t>Company’s meter #8025 located at Customer’s Bayport, Texas facility.</w:t>
            </w:r>
          </w:p>
        </w:tc>
      </w:tr>
      <w:tr>
        <w:trPr/>
        <w:tc>
          <w:tcPr>
            <w:tcW w:w="316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3168" w:type="dxa"/>
            <w:tcBorders/>
          </w:tcPr>
          <w:p>
            <w:pPr>
              <w:pStyle w:val="Normal"/>
              <w:rPr>
                <w:b/>
              </w:rPr>
            </w:pPr>
            <w:r>
              <w:rPr>
                <w:b/>
              </w:rPr>
              <w:t>CONTRACT PRICE:</w:t>
            </w:r>
          </w:p>
        </w:tc>
        <w:tc>
          <w:tcPr>
            <w:tcW w:w="6552" w:type="dxa"/>
            <w:tcBorders/>
          </w:tcPr>
          <w:p>
            <w:pPr>
              <w:pStyle w:val="Normal"/>
              <w:ind w:start="-108" w:end="144"/>
              <w:jc w:val="both"/>
              <w:rPr/>
            </w:pPr>
            <w:r>
              <w:rPr/>
              <w:t xml:space="preserve">The price per MMBtu for all volumes sold and delivered each day during a month shall be one hundred ten percent (110%) of the "Index Price" published in </w:t>
            </w:r>
            <w:r>
              <w:rPr>
                <w:u w:val="single"/>
              </w:rPr>
              <w:t>Inside F.E.R.C.'s Gas Market Report</w:t>
            </w:r>
            <w:r>
              <w:rPr/>
              <w:t xml:space="preserve"> for Houston Ship Channel index (large packages only) as listed in the table entitled "Delivered Spot-Gas Price" in the first-of-the-month issue of such publication for each Month during the Period of Delivery</w:t>
            </w:r>
            <w:r>
              <w:rPr>
                <w:b/>
              </w:rPr>
              <w:t xml:space="preserve"> </w:t>
            </w:r>
            <w:r>
              <w:rPr/>
              <w:t>plus $0.045 per MMBtu</w:t>
            </w:r>
          </w:p>
          <w:p>
            <w:pPr>
              <w:pStyle w:val="Normal"/>
              <w:ind w:start="-108" w:end="144"/>
              <w:jc w:val="both"/>
              <w:rPr/>
            </w:pPr>
            <w:r>
              <w:rPr/>
            </w:r>
          </w:p>
        </w:tc>
      </w:tr>
      <w:tr>
        <w:trPr/>
        <w:tc>
          <w:tcPr>
            <w:tcW w:w="3168" w:type="dxa"/>
            <w:tcBorders/>
          </w:tcPr>
          <w:p>
            <w:pPr>
              <w:pStyle w:val="Normal"/>
              <w:rPr>
                <w:b/>
              </w:rPr>
            </w:pPr>
            <w:r>
              <w:rPr>
                <w:b/>
              </w:rPr>
              <w:t>PERIOD OF DELIVERY:</w:t>
            </w:r>
          </w:p>
        </w:tc>
        <w:tc>
          <w:tcPr>
            <w:tcW w:w="6552" w:type="dxa"/>
            <w:tcBorders/>
          </w:tcPr>
          <w:p>
            <w:pPr>
              <w:pStyle w:val="Normal"/>
              <w:ind w:start="-108" w:end="0"/>
              <w:rPr/>
            </w:pPr>
            <w:r>
              <w:rPr/>
              <w:t>September 1, 2002 through August 31, 2004.</w:t>
            </w:r>
          </w:p>
        </w:tc>
      </w:tr>
      <w:tr>
        <w:trPr/>
        <w:tc>
          <w:tcPr>
            <w:tcW w:w="316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3168" w:type="dxa"/>
            <w:tcBorders/>
          </w:tcPr>
          <w:p>
            <w:pPr>
              <w:pStyle w:val="Normal"/>
              <w:jc w:val="both"/>
              <w:rPr>
                <w:b/>
              </w:rPr>
            </w:pPr>
            <w:r>
              <w:rPr>
                <w:b/>
              </w:rPr>
              <w:t>SPOT PRICE LOCATION:</w:t>
            </w:r>
          </w:p>
        </w:tc>
        <w:tc>
          <w:tcPr>
            <w:tcW w:w="6552" w:type="dxa"/>
            <w:tcBorders/>
          </w:tcPr>
          <w:p>
            <w:pPr>
              <w:pStyle w:val="Normal"/>
              <w:ind w:start="-90" w:end="0"/>
              <w:jc w:val="both"/>
              <w:rPr/>
            </w:pPr>
            <w:r>
              <w:rPr/>
              <w:t>East-Houston-Katy, Houston Ship Channel</w:t>
            </w:r>
          </w:p>
        </w:tc>
      </w:tr>
      <w:tr>
        <w:trPr/>
        <w:tc>
          <w:tcPr>
            <w:tcW w:w="316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3168" w:type="dxa"/>
            <w:tcBorders/>
          </w:tcPr>
          <w:p>
            <w:pPr>
              <w:pStyle w:val="Normal"/>
              <w:rPr>
                <w:b/>
              </w:rPr>
            </w:pPr>
            <w:r>
              <w:rPr>
                <w:b/>
              </w:rPr>
              <w:t>OTHER:</w:t>
            </w:r>
          </w:p>
        </w:tc>
        <w:tc>
          <w:tcPr>
            <w:tcW w:w="6552" w:type="dxa"/>
            <w:tcBorders/>
          </w:tcPr>
          <w:p>
            <w:pPr>
              <w:pStyle w:val="Normal"/>
              <w:ind w:start="-108" w:end="0"/>
              <w:jc w:val="both"/>
              <w:rPr/>
            </w:pPr>
            <w:r>
              <w:rPr/>
              <w:t>N/A</w:t>
            </w:r>
          </w:p>
        </w:tc>
      </w:tr>
    </w:tbl>
    <w:p>
      <w:pPr>
        <w:pStyle w:val="BodyText"/>
        <w:rPr/>
      </w:pPr>
      <w:r>
        <w:rPr/>
      </w:r>
    </w:p>
    <w:p>
      <w:pPr>
        <w:pStyle w:val="Normal"/>
        <w:tabs>
          <w:tab w:val="clear" w:pos="720"/>
          <w:tab w:val="center" w:pos="5760" w:leader="none"/>
        </w:tabs>
        <w:jc w:val="both"/>
        <w:rPr>
          <w:rFonts w:ascii="Arial Narrow" w:hAnsi="Arial Narrow" w:cs="Arial Narrow"/>
          <w:b/>
          <w:sz w:val="18"/>
        </w:rPr>
      </w:pPr>
      <w:r>
        <w:rPr/>
        <w:t>This Transaction Agreement is being provided pursuant to and in accordance with the ENFOLIO Master Firm Purchase/Sale Agreement in effect between Customer and Company (the "</w:t>
      </w:r>
      <w:r>
        <w:rPr>
          <w:u w:val="single"/>
        </w:rPr>
        <w:t>Agreement</w:t>
      </w:r>
      <w:r>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Transaction Agreement.  Any objection of Customer to this Transaction Agreement must be made by written notice to Company prior to the Confirm Deadline, as agreed and defined in the Agreement.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headerReference w:type="default" r:id="rId10"/>
      <w:headerReference w:type="first" r:id="rId11"/>
      <w:footerReference w:type="default" r:id="rId12"/>
      <w:footerReference w:type="first" r:id="rId13"/>
      <w:type w:val="nextPage"/>
      <w:pgSz w:w="12240" w:h="15840"/>
      <w:pgMar w:left="720" w:right="720" w:gutter="0" w:header="720" w:top="776"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jc w:val="both"/>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/mnt/main-storage/datasets/enron-docs/doc/2001_015ctr.doc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Haldor-Topsoe, Inc.</w:t>
    </w:r>
  </w:p>
  <w:p>
    <w:pPr>
      <w:pStyle w:val="Header"/>
      <w:rPr/>
    </w:pPr>
    <w:r>
      <w:rPr/>
      <w:t>April 25, 2001</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378" w:type="dxa"/>
      <w:jc w:val="start"/>
      <w:tblInd w:w="0" w:type="dxa"/>
      <w:tblLayout w:type="fixed"/>
      <w:tblCellMar>
        <w:top w:w="0" w:type="dxa"/>
        <w:start w:w="108" w:type="dxa"/>
        <w:bottom w:w="0" w:type="dxa"/>
        <w:end w:w="108" w:type="dxa"/>
      </w:tblCellMar>
    </w:tblPr>
    <w:tblGrid>
      <w:gridCol w:w="4601"/>
      <w:gridCol w:w="4777"/>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724800461" r:id="rId1"/>
            </w:object>
          </w:r>
        </w:p>
      </w:tc>
      <w:tc>
        <w:tcPr>
          <w:tcW w:w="4777"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Department">
    <w:name w:val="Department"/>
    <w:basedOn w:val="Normal"/>
    <w:qFormat/>
    <w:pPr/>
    <w:rPr>
      <w:rFonts w:ascii="Arial" w:hAnsi="Arial" w:cs="Arial"/>
      <w:sz w:val="20"/>
    </w:rPr>
  </w:style>
  <w:style w:type="paragraph" w:styleId="BodyText2">
    <w:name w:val="Body Text 2"/>
    <w:basedOn w:val="Normal"/>
    <w:qFormat/>
    <w:pPr>
      <w:jc w:val="center"/>
    </w:pPr>
    <w:rPr>
      <w:b/>
      <w:sz w:val="20"/>
    </w:rPr>
  </w:style>
  <w:style w:type="paragraph" w:styleId="BlockText">
    <w:name w:val="Block Text"/>
    <w:basedOn w:val="Normal"/>
    <w:qFormat/>
    <w:pPr>
      <w:ind w:hanging="0" w:start="-108" w:end="-144"/>
      <w:jc w:val="both"/>
    </w:pPr>
    <w:rPr>
      <w:sz w:val="22"/>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9.xml"/><Relationship Id="rId13" Type="http://schemas.openxmlformats.org/officeDocument/2006/relationships/footer" Target="footer10.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2001-04-24T18:11:00Z</dcterms:created>
  <dc:creator>ECT</dc:creator>
  <dc:description/>
  <dc:language>en-CA</dc:language>
  <cp:lastModifiedBy>dhyvl</cp:lastModifiedBy>
  <cp:lastPrinted>2001-04-25T10:05:00Z</cp:lastPrinted>
  <dcterms:modified xsi:type="dcterms:W3CDTF">2001-04-25T12:57:00Z</dcterms:modified>
  <cp:revision>9</cp:revision>
  <dc:subject/>
  <dc:title>ENFOLIO® MASTER FIRM PURCHASE/SALE AGREEMENT        </dc:title>
</cp:coreProperties>
</file>