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2.xml.rels" ContentType="application/vnd.openxmlformats-package.relationships+xml"/>
  <Override PartName="/word/_rels/document.xml.rels" ContentType="application/vnd.openxmlformats-package.relationships+xml"/>
  <Override PartName="/word/footer8.xml" ContentType="application/vnd.openxmlformats-officedocument.wordprocessingml.footer+xml"/>
  <Override PartName="/word/footer7.xml" ContentType="application/vnd.openxmlformats-officedocument.wordprocessingml.footer+xml"/>
  <Override PartName="/word/embeddings/oleObject1.bin" ContentType="application/vnd.openxmlformats-officedocument.oleObject"/>
  <Override PartName="/word/document.xml" ContentType="application/vnd.openxmlformats-officedocument.wordprocessingml.document.main+xml"/>
  <Override PartName="/word/footer6.xml" ContentType="application/vnd.openxmlformats-officedocument.wordprocessingml.footer+xml"/>
  <Override PartName="/word/footer5.xml" ContentType="application/vnd.openxmlformats-officedocument.wordprocessingml.footer+xml"/>
  <Override PartName="/word/media/image1.wmf" ContentType="image/x-wmf"/>
  <Override PartName="/word/fontTable.xml" ContentType="application/vnd.openxmlformats-officedocument.wordprocessingml.fontTable+xml"/>
  <Override PartName="/word/numbering.xml" ContentType="application/vnd.openxmlformats-officedocument.wordprocessingml.numbering+xml"/>
  <Override PartName="/word/footer10.xml" ContentType="application/vnd.openxmlformats-officedocument.wordprocessingml.footer+xml"/>
  <Override PartName="/word/footer9.xml" ContentType="application/vnd.openxmlformats-officedocument.wordprocessingml.foot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Houston Pipe Line Company, a Delaware corporation ("</w:t>
      </w:r>
      <w:r>
        <w:rPr>
          <w:rFonts w:cs="Arial Narrow" w:ascii="Arial Narrow" w:hAnsi="Arial Narrow"/>
          <w:sz w:val="18"/>
          <w:u w:val="single"/>
        </w:rPr>
        <w:t>Company</w:t>
      </w:r>
      <w:r>
        <w:rPr>
          <w:rFonts w:cs="Arial Narrow" w:ascii="Arial Narrow" w:hAnsi="Arial Narrow"/>
          <w:sz w:val="18"/>
        </w:rPr>
        <w:t>"), and Haldor Topsoe, Inc., a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April,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r>
        <w:rPr>
          <w:rFonts w:cs="Arial Narrow" w:ascii="Arial Narrow" w:hAnsi="Arial Narrow"/>
          <w:b/>
          <w:sz w:val="18"/>
        </w:rPr>
        <w:t>SEE RIDER TRANSACTION AGREEMENT REQUIRED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w:t>
      </w:r>
      <w:r>
        <w:rPr>
          <w:rFonts w:cs="Arial Narrow" w:ascii="Arial Narrow" w:hAnsi="Arial Narrow"/>
          <w:b/>
          <w:sz w:val="18"/>
        </w:rPr>
        <w:t xml:space="preserve"> </w:t>
      </w:r>
      <w:r>
        <w:rPr>
          <w:rFonts w:cs="Arial Narrow" w:ascii="Arial Narrow" w:hAnsi="Arial Narrow"/>
          <w:sz w:val="18"/>
        </w:rPr>
        <w:t xml:space="preserve">(vii)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$100,000.00)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w:t>
      </w:r>
      <w:r>
        <w:rPr>
          <w:rFonts w:cs="Arial Narrow" w:ascii="Arial Narrow" w:hAnsi="Arial Narrow"/>
          <w:bCs/>
          <w:sz w:val="18"/>
        </w:rPr>
        <w:t>Enron Corp.</w:t>
      </w:r>
      <w:r>
        <w:rPr>
          <w:rFonts w:cs="Arial Narrow" w:ascii="Arial Narrow" w:hAnsi="Arial Narrow"/>
          <w:sz w:val="18"/>
        </w:rPr>
        <w:t xml:space="preserve"> shall have defaulted on its indebtedness to third parties resulting in an acceleration of obligations of Enron Corp. in excess of $100,000,000.00, or with respect to Customer, at any time, Customer shall have defaulted on its indebted</w:t>
        <w:softHyphen/>
        <w:t>ness to third parties, resulting in an acceleration of obligations of Customer in excess of $1,000,000.00.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(a) If at any time and from time to time during the term of this Agreement (and notwithstanding whether a Triggering Event has occurred) the Termination Payment that would be owed to Company in respect of all Transactions then outstanding should exceed $700,000.00, Company as the Beneficiary Party may request Customer to establish a Letter of Credit as the Account Party in an amount equal to the Termination Payment in excess of $700,000.00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$100,000.00), or such other collateral as may be reasonably acceptable to the Beneficiary Party.  (b) If at any time and from time to time during the term of this Agreement (and notwithstanding whether a Triggering Event has occurred) the Termination Payment that would be owed to Customer in respect of all Transactions then outstanding should exceed $10,000,000.00, Customer as the Beneficiary Party may request Company to establish a Letter of Credit as the Account Party in an amount equal to the Termination Payment in excess of $10,000,000.00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$100,000.00), or such other collateral as may be reasonably acceptable to the Beneficiary Party The Letter of Credit or other collateral shall be delivered within two Business Days of the date of such notice.  (c)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$100,000.00).  For purposes of this Section 4.5, the calculation of "Termination Payment" shall include all amounts owed but not yet paid by one Party to the other Party whether or not such amounts are then due, for performance already provided pursuant to any and all Transactions.</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w:t>
      </w:r>
      <w:r>
        <w:rPr>
          <w:rFonts w:cs="Arial Narrow" w:ascii="Arial Narrow" w:hAnsi="Arial Narrow"/>
          <w:b/>
          <w:caps/>
          <w:sz w:val="18"/>
        </w:rPr>
        <w:t xml:space="preserve">see rider anticipatory repudiation  </w:t>
      </w:r>
      <w:r>
        <w:rPr>
          <w:rFonts w:cs="Arial Narrow" w:ascii="Arial Narrow" w:hAnsi="Arial Narrow"/>
          <w:caps/>
          <w:sz w:val="18"/>
        </w:rPr>
        <w:t xml:space="preserve">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8.9. </w:t>
      </w:r>
      <w:r>
        <w:rPr>
          <w:rFonts w:cs="Arial Narrow" w:ascii="Arial Narrow" w:hAnsi="Arial Narrow"/>
          <w:b/>
          <w:sz w:val="18"/>
          <w:u w:val="single"/>
        </w:rPr>
        <w:t>Prior Agreement</w:t>
      </w:r>
      <w:r>
        <w:rPr>
          <w:rFonts w:cs="Arial Narrow" w:ascii="Arial Narrow" w:hAnsi="Arial Narrow"/>
          <w:sz w:val="18"/>
        </w:rPr>
        <w:t>.  Reference is heremade to that certain Gas Sales Contract dated November 30, 1994 by and between Customer and Company.  Company and Customer hereby agree that such Gas Sales Contract dated November 30, 1994 is hereby terminated effective as of August 31, 2001.</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b/>
          <w:bCs/>
          <w:sz w:val="18"/>
        </w:rPr>
      </w:pPr>
      <w:r>
        <w:rPr>
          <w:rFonts w:cs="Arial Narrow" w:ascii="Arial Narrow" w:hAnsi="Arial Narrow"/>
          <w:b/>
          <w:bCs/>
          <w:sz w:val="18"/>
        </w:rPr>
        <w:t>HOUSTON PIPE LINE COMPANY</w:t>
        <w:tab/>
        <w:tab/>
      </w:r>
    </w:p>
    <w:p>
      <w:pPr>
        <w:pStyle w:val="Normal"/>
        <w:tabs>
          <w:tab w:val="clear" w:pos="720"/>
          <w:tab w:val="left" w:pos="4050" w:leader="none"/>
          <w:tab w:val="left" w:pos="5400" w:leader="none"/>
          <w:tab w:val="left" w:pos="9360" w:leader="none"/>
        </w:tabs>
        <w:rPr>
          <w:rFonts w:ascii="Arial Narrow" w:hAnsi="Arial Narrow" w:cs="Arial Narrow"/>
          <w:b/>
          <w:bCs/>
          <w:sz w:val="18"/>
        </w:rPr>
      </w:pPr>
      <w:r>
        <w:rPr>
          <w:rFonts w:cs="Arial Narrow" w:ascii="Arial Narrow" w:hAnsi="Arial Narrow"/>
          <w:b/>
          <w:bCs/>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b/>
          <w:bCs/>
          <w:sz w:val="18"/>
        </w:rPr>
      </w:pPr>
      <w:r>
        <w:rPr>
          <w:rFonts w:cs="Arial Narrow" w:ascii="Arial Narrow" w:hAnsi="Arial Narrow"/>
          <w:b/>
          <w:bCs/>
          <w:sz w:val="18"/>
        </w:rPr>
        <w:t>HALDOR TOPSOE, INC.</w:t>
      </w:r>
    </w:p>
    <w:p>
      <w:pPr>
        <w:pStyle w:val="Normal"/>
        <w:tabs>
          <w:tab w:val="clear" w:pos="720"/>
          <w:tab w:val="left" w:pos="4050" w:leader="none"/>
          <w:tab w:val="left" w:pos="5400" w:leader="none"/>
          <w:tab w:val="left" w:pos="9360" w:leader="none"/>
        </w:tabs>
        <w:rPr>
          <w:rFonts w:ascii="Arial Narrow" w:hAnsi="Arial Narrow" w:cs="Arial Narrow"/>
          <w:b/>
          <w:bCs/>
          <w:sz w:val="18"/>
          <w:u w:val="single"/>
        </w:rPr>
      </w:pPr>
      <w:r>
        <w:rPr>
          <w:rFonts w:cs="Arial Narrow" w:ascii="Arial Narrow" w:hAnsi="Arial Narrow"/>
          <w:b/>
          <w:bCs/>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rFonts w:ascii="Arial Narrow" w:hAnsi="Arial Narrow" w:cs="Arial Narrow"/>
          <w:i/>
          <w:i/>
          <w:sz w:val="18"/>
        </w:rPr>
      </w:pPr>
      <w:r>
        <w:rPr>
          <w:rFonts w:cs="Arial Narrow" w:ascii="Arial Narrow" w:hAnsi="Arial Narrow"/>
          <w:sz w:val="18"/>
        </w:rPr>
        <w:t>“</w:t>
      </w:r>
      <w:r>
        <w:rPr>
          <w:rFonts w:cs="Arial Narrow" w:ascii="Arial Narrow" w:hAnsi="Arial Narrow"/>
          <w:b/>
          <w:bCs/>
          <w:i/>
          <w:iCs/>
          <w:sz w:val="18"/>
          <w:u w:val="single"/>
        </w:rPr>
        <w:t>Depreciation, Depletion and Amortization Expense</w:t>
      </w:r>
      <w:r>
        <w:rPr>
          <w:rFonts w:cs="Arial Narrow" w:ascii="Arial Narrow" w:hAnsi="Arial Narrow"/>
          <w:sz w:val="18"/>
        </w:rPr>
        <w:t>” means, with respect to Customer for any period, the total amount of consolidated depreciation, depletion and amortization expense (exclusive of the amortization of the principal amount of any indebtedness) and other similar non-cash operating charges for such person for such period.</w:t>
      </w:r>
    </w:p>
    <w:p>
      <w:pPr>
        <w:pStyle w:val="Normal"/>
        <w:ind w:start="360" w:end="0"/>
        <w:jc w:val="both"/>
        <w:rPr/>
      </w:pPr>
      <w:r>
        <w:rPr>
          <w:rFonts w:cs="Arial Narrow" w:ascii="Arial Narrow" w:hAnsi="Arial Narrow"/>
          <w:sz w:val="18"/>
        </w:rPr>
        <w:t>“</w:t>
      </w:r>
      <w:r>
        <w:rPr>
          <w:rFonts w:cs="Arial Narrow" w:ascii="Arial Narrow" w:hAnsi="Arial Narrow"/>
          <w:b/>
          <w:bCs/>
          <w:i/>
          <w:iCs/>
          <w:sz w:val="18"/>
          <w:u w:val="single"/>
        </w:rPr>
        <w:t>EBITDA</w:t>
      </w:r>
      <w:r>
        <w:rPr>
          <w:rFonts w:cs="Arial Narrow" w:ascii="Arial Narrow" w:hAnsi="Arial Narrow"/>
          <w:sz w:val="18"/>
        </w:rPr>
        <w:t xml:space="preserve">” means, with respect to Customer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 to other (a) non-cash operating charges and (b) non-cash non-operating charges for such period, and (v) all consolidated extraordinary non-cash charges for such person during such period </w:t>
      </w:r>
      <w:r>
        <w:rPr>
          <w:rFonts w:cs="Arial Narrow" w:ascii="Arial Narrow" w:hAnsi="Arial Narrow"/>
          <w:sz w:val="18"/>
          <w:u w:val="single"/>
        </w:rPr>
        <w:t>minus</w:t>
      </w:r>
      <w:r>
        <w:rPr>
          <w:rFonts w:cs="Arial Narrow" w:ascii="Arial Narrow" w:hAnsi="Arial Narrow"/>
          <w:sz w:val="18"/>
        </w:rPr>
        <w:t>, without duplication, all consolidated extraordinary gains for such person during such period.</w:t>
      </w:r>
    </w:p>
    <w:p>
      <w:pPr>
        <w:pStyle w:val="Normal"/>
        <w:ind w:start="360" w:end="0"/>
        <w:jc w:val="both"/>
        <w:rPr/>
      </w:pPr>
      <w:r>
        <w:rPr>
          <w:rFonts w:cs="Arial Narrow" w:ascii="Arial Narrow" w:hAnsi="Arial Narrow"/>
          <w:sz w:val="18"/>
        </w:rPr>
        <w:t>“</w:t>
      </w:r>
      <w:r>
        <w:rPr>
          <w:rFonts w:cs="Arial Narrow" w:ascii="Arial Narrow" w:hAnsi="Arial Narrow"/>
          <w:b/>
          <w:bCs/>
          <w:i/>
          <w:iCs/>
          <w:sz w:val="18"/>
          <w:u w:val="single"/>
        </w:rPr>
        <w:t>EBITDA Coverage Ratio</w:t>
      </w:r>
      <w:r>
        <w:rPr>
          <w:rFonts w:cs="Arial Narrow" w:ascii="Arial Narrow" w:hAnsi="Arial Narrow"/>
          <w:sz w:val="18"/>
        </w:rPr>
        <w:t>” means, with respect to any period, the ratio of (i) EBITDA for such period to (ii) the aggregate amount of Interest Expense for such period.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bCs/>
          <w:i/>
          <w:iCs/>
          <w:sz w:val="18"/>
          <w:u w:val="single"/>
        </w:rPr>
        <w:t>Interest Expense</w:t>
      </w:r>
      <w:r>
        <w:rPr>
          <w:rFonts w:cs="Arial Narrow" w:ascii="Arial Narrow" w:hAnsi="Arial Narrow"/>
          <w:sz w:val="18"/>
        </w:rPr>
        <w:t>” means, for any period, without duplication, the total consolidated interest expense of Customer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Party B under any guarantee of indebtedness or other obligations of any other person.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means (i) with respect to Company, Enron Corp. shall have long-term debt unsupported by third party credit enhancement that is rated by Standard &amp; Poor's Corporation below BBB- or (ii) with respect to Customer, Customer shall have either (a) Funded Debt at any one time which exceeds 120% of Net Worth or (b) Net Worth below $20,000,000, or (c) a EBITDA Coverage Ratio that is less than 4.5 to 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bCs/>
          <w:i/>
          <w:iCs/>
          <w:sz w:val="18"/>
          <w:u w:val="single"/>
        </w:rPr>
        <w:t>Net Income</w:t>
      </w:r>
      <w:r>
        <w:rPr>
          <w:rFonts w:cs="Arial Narrow" w:ascii="Arial Narrow" w:hAnsi="Arial Narrow"/>
          <w:sz w:val="18"/>
        </w:rPr>
        <w:t>” means consolidated gross revenues of Customer and other proper income credits, less all proper income charges, including taxes on income, all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The following representations and warranties shall apply to Transactions under the stated conditions:  (i) if Company is Buyer, Seller represents and warrants to Buyer that all Gas will have been produced (a) within the state of Texas and will not have been commingled with other Gas which is or may be sold, consumed, transported or otherwise utilized in interstate commerce in such manner which would subject an intrastate Transporter to the jurisdiction of the Federal Energy Regulatory Commission or any successor authority under the Natural Gas Act of 1938 or (b) outside of the state of Texas with any transportation on an interstate pipeline having been conducted under Section 311 (a)(1) of the Natural Gas Policy Act and (ii) if Company is Seller and the Delivery Point(s) for the Transaction are not interstate interconnections, Buyer represents and warrants to Seller that none of the Gas will be sold, consumed, transported or otherwise utilized outside the state of Texas or sold to another party which will subsequently sell, consume, transport or otherwise use the Gas outside the state of Texas where such event would subject an intrastate Transporter to the jurisdiction of the Federal Energy Regulatory Commission or any successor authority under the Natural Gas Act of 1938.</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Company’s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Company’s nomination deadline for the applicable Gas Day.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Company.</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rFonts w:ascii="Arial Narrow" w:hAnsi="Arial Narrow" w:cs="Arial Narrow"/>
          <w:b/>
          <w:sz w:val="18"/>
        </w:rPr>
      </w:pPr>
      <w:r>
        <w:rPr>
          <w:rFonts w:cs="Arial Narrow" w:ascii="Arial Narrow" w:hAnsi="Arial Narrow"/>
          <w:b/>
          <w:sz w:val="18"/>
          <w:u w:val="single"/>
        </w:rPr>
        <w:t>Measurement</w:t>
      </w:r>
      <w:r>
        <w:rPr>
          <w:rFonts w:cs="Arial Narrow" w:ascii="Arial Narrow" w:hAnsi="Arial Narrow"/>
          <w:b/>
          <w:sz w:val="18"/>
        </w:rPr>
        <w:t xml:space="preserve">.  </w:t>
      </w:r>
      <w:r>
        <w:rPr>
          <w:rFonts w:cs="Arial Narrow" w:ascii="Arial Narrow" w:hAnsi="Arial Narrow"/>
          <w:sz w:val="18"/>
        </w:rPr>
        <w:t>At appropriate intervals the Company (the "</w:t>
      </w:r>
      <w:r>
        <w:rPr>
          <w:rFonts w:cs="Arial Narrow" w:ascii="Arial Narrow" w:hAnsi="Arial Narrow"/>
          <w:sz w:val="18"/>
          <w:u w:val="single"/>
        </w:rPr>
        <w:t>Measuring Party</w:t>
      </w:r>
      <w:r>
        <w:rPr>
          <w:rFonts w:cs="Arial Narrow" w:ascii="Arial Narrow" w:hAnsi="Arial Narrow"/>
          <w:sz w:val="18"/>
        </w:rPr>
        <w:t>") shall measure Gas purchased and sold hereunder in accordance with the measurement criteria contained in Company’s standard intrastate gas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Payments, if by check:</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Post checks to the following address: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840316</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  75284-0316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Payments, if by wire:</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Wire payment to the following account:</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3750494141</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Haldor Topsoe, Inc.</w:t>
      </w:r>
    </w:p>
    <w:p>
      <w:pPr>
        <w:pStyle w:val="Normal"/>
        <w:jc w:val="both"/>
        <w:rPr>
          <w:rFonts w:ascii="Arial Narrow" w:hAnsi="Arial Narrow" w:cs="Arial Narrow"/>
          <w:sz w:val="18"/>
        </w:rPr>
      </w:pPr>
      <w:r>
        <w:rPr>
          <w:rFonts w:cs="Arial Narrow" w:ascii="Arial Narrow" w:hAnsi="Arial Narrow"/>
          <w:sz w:val="18"/>
        </w:rPr>
        <w:t>17629 El Camino Real</w:t>
      </w:r>
    </w:p>
    <w:p>
      <w:pPr>
        <w:pStyle w:val="Normal"/>
        <w:jc w:val="both"/>
        <w:rPr>
          <w:rFonts w:ascii="Arial Narrow" w:hAnsi="Arial Narrow" w:cs="Arial Narrow"/>
          <w:sz w:val="18"/>
        </w:rPr>
      </w:pPr>
      <w:r>
        <w:rPr>
          <w:rFonts w:cs="Arial Narrow" w:ascii="Arial Narrow" w:hAnsi="Arial Narrow"/>
          <w:sz w:val="18"/>
        </w:rPr>
        <w:t>Suite 300</w:t>
      </w:r>
    </w:p>
    <w:p>
      <w:pPr>
        <w:pStyle w:val="Normal"/>
        <w:jc w:val="both"/>
        <w:rPr>
          <w:rFonts w:ascii="Arial Narrow" w:hAnsi="Arial Narrow" w:cs="Arial Narrow"/>
          <w:sz w:val="18"/>
        </w:rPr>
      </w:pPr>
      <w:r>
        <w:rPr>
          <w:rFonts w:cs="Arial Narrow" w:ascii="Arial Narrow" w:hAnsi="Arial Narrow"/>
          <w:sz w:val="18"/>
        </w:rPr>
        <w:t>Houston, Texas  77058</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t>Haldor Topsoe, Inc.</w:t>
      </w:r>
    </w:p>
    <w:p>
      <w:pPr>
        <w:pStyle w:val="Normal"/>
        <w:jc w:val="both"/>
        <w:rPr>
          <w:rFonts w:ascii="Arial Narrow" w:hAnsi="Arial Narrow" w:cs="Arial Narrow"/>
          <w:sz w:val="18"/>
        </w:rPr>
      </w:pPr>
      <w:r>
        <w:rPr>
          <w:rFonts w:cs="Arial Narrow" w:ascii="Arial Narrow" w:hAnsi="Arial Narrow"/>
          <w:sz w:val="18"/>
        </w:rPr>
        <w:t>17629 El Camino Real</w:t>
      </w:r>
    </w:p>
    <w:p>
      <w:pPr>
        <w:pStyle w:val="Normal"/>
        <w:jc w:val="both"/>
        <w:rPr>
          <w:rFonts w:ascii="Arial Narrow" w:hAnsi="Arial Narrow" w:cs="Arial Narrow"/>
          <w:sz w:val="18"/>
        </w:rPr>
      </w:pPr>
      <w:r>
        <w:rPr>
          <w:rFonts w:cs="Arial Narrow" w:ascii="Arial Narrow" w:hAnsi="Arial Narrow"/>
          <w:sz w:val="18"/>
        </w:rPr>
        <w:t>Suite 300</w:t>
      </w:r>
    </w:p>
    <w:p>
      <w:pPr>
        <w:pStyle w:val="Normal"/>
        <w:jc w:val="both"/>
        <w:rPr>
          <w:rFonts w:ascii="Arial Narrow" w:hAnsi="Arial Narrow" w:cs="Arial Narrow"/>
          <w:sz w:val="18"/>
        </w:rPr>
      </w:pPr>
      <w:r>
        <w:rPr>
          <w:rFonts w:cs="Arial Narrow" w:ascii="Arial Narrow" w:hAnsi="Arial Narrow"/>
          <w:sz w:val="18"/>
        </w:rPr>
        <w:t>Houston, Texas  77058</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t>Haldor Topsoe, Inc.</w:t>
      </w:r>
    </w:p>
    <w:p>
      <w:pPr>
        <w:pStyle w:val="Normal"/>
        <w:jc w:val="both"/>
        <w:rPr>
          <w:rFonts w:ascii="Arial Narrow" w:hAnsi="Arial Narrow" w:cs="Arial Narrow"/>
          <w:sz w:val="18"/>
        </w:rPr>
      </w:pPr>
      <w:r>
        <w:rPr>
          <w:rFonts w:cs="Arial Narrow" w:ascii="Arial Narrow" w:hAnsi="Arial Narrow"/>
          <w:sz w:val="18"/>
        </w:rPr>
        <w:t>17629 El Camino Real</w:t>
      </w:r>
    </w:p>
    <w:p>
      <w:pPr>
        <w:pStyle w:val="Normal"/>
        <w:jc w:val="both"/>
        <w:rPr>
          <w:rFonts w:ascii="Arial Narrow" w:hAnsi="Arial Narrow" w:cs="Arial Narrow"/>
          <w:sz w:val="18"/>
        </w:rPr>
      </w:pPr>
      <w:r>
        <w:rPr>
          <w:rFonts w:cs="Arial Narrow" w:ascii="Arial Narrow" w:hAnsi="Arial Narrow"/>
          <w:sz w:val="18"/>
        </w:rPr>
        <w:t>Suite 300</w:t>
      </w:r>
    </w:p>
    <w:p>
      <w:pPr>
        <w:pStyle w:val="Normal"/>
        <w:jc w:val="both"/>
        <w:rPr>
          <w:rFonts w:ascii="Arial Narrow" w:hAnsi="Arial Narrow" w:cs="Arial Narrow"/>
          <w:sz w:val="18"/>
        </w:rPr>
      </w:pPr>
      <w:r>
        <w:rPr>
          <w:rFonts w:cs="Arial Narrow" w:ascii="Arial Narrow" w:hAnsi="Arial Narrow"/>
          <w:sz w:val="18"/>
        </w:rPr>
        <w:t>Houston, Texas  77058</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ind w:hanging="3600" w:start="3600" w:end="0"/>
        <w:jc w:val="center"/>
        <w:rPr>
          <w:rFonts w:ascii="Arial Narrow" w:hAnsi="Arial Narrow" w:cs="Arial Narrow"/>
          <w:b/>
          <w:sz w:val="18"/>
        </w:rPr>
      </w:pPr>
      <w:r>
        <w:rPr>
          <w:rFonts w:cs="Arial Narrow" w:ascii="Arial Narrow" w:hAnsi="Arial Narrow"/>
          <w:b/>
          <w:sz w:val="18"/>
        </w:rPr>
      </w:r>
    </w:p>
    <w:p>
      <w:pPr>
        <w:pStyle w:val="Normal"/>
        <w:ind w:hanging="3600" w:start="3600" w:end="0"/>
        <w:jc w:val="center"/>
        <w:rPr/>
      </w:pPr>
      <w:r>
        <w:rPr/>
      </w:r>
    </w:p>
    <w:p>
      <w:pPr>
        <w:pStyle w:val="Normal"/>
        <w:ind w:hanging="3600" w:start="3600" w:end="0"/>
        <w:jc w:val="center"/>
        <w:rPr/>
      </w:pPr>
      <w:r>
        <w:rPr/>
        <w:t>May 9, 2001</w:t>
      </w:r>
    </w:p>
    <w:p>
      <w:pPr>
        <w:pStyle w:val="Normal"/>
        <w:rPr/>
      </w:pPr>
      <w:r>
        <w:rPr/>
      </w:r>
    </w:p>
    <w:p>
      <w:pPr>
        <w:pStyle w:val="Normal"/>
        <w:rPr/>
      </w:pPr>
      <w:r>
        <w:rPr/>
      </w:r>
    </w:p>
    <w:p>
      <w:pPr>
        <w:pStyle w:val="Normal"/>
        <w:rPr/>
      </w:pPr>
      <w:r>
        <w:rPr/>
        <w:t>Haldor Topsoe, Inc.</w:t>
      </w:r>
    </w:p>
    <w:p>
      <w:pPr>
        <w:pStyle w:val="Normal"/>
        <w:rPr/>
      </w:pPr>
      <w:r>
        <w:rPr/>
        <w:t>17629 El Camino Real</w:t>
      </w:r>
    </w:p>
    <w:p>
      <w:pPr>
        <w:pStyle w:val="Normal"/>
        <w:rPr/>
      </w:pPr>
      <w:r>
        <w:rPr/>
        <w:t>Suite 300</w:t>
      </w:r>
    </w:p>
    <w:p>
      <w:pPr>
        <w:pStyle w:val="Normal"/>
        <w:rPr/>
      </w:pPr>
      <w:r>
        <w:rPr/>
        <w:t>Houston, Texas  77058</w:t>
      </w:r>
    </w:p>
    <w:p>
      <w:pPr>
        <w:pStyle w:val="Normal"/>
        <w:rPr/>
      </w:pPr>
      <w:r>
        <w:rPr/>
      </w:r>
    </w:p>
    <w:p>
      <w:pPr>
        <w:pStyle w:val="Normal"/>
        <w:rPr/>
      </w:pPr>
      <w:r>
        <w:rPr/>
        <w:tab/>
        <w:t>Attn:</w:t>
        <w:tab/>
        <w:t>Ted Anderson</w:t>
      </w:r>
    </w:p>
    <w:p>
      <w:pPr>
        <w:pStyle w:val="Normal"/>
        <w:rPr/>
      </w:pPr>
      <w:r>
        <w:rPr/>
        <w:tab/>
        <w:tab/>
        <w:t>Vice President, Finance</w:t>
      </w:r>
    </w:p>
    <w:p>
      <w:pPr>
        <w:pStyle w:val="Normal"/>
        <w:rPr/>
      </w:pPr>
      <w:r>
        <w:rPr/>
      </w:r>
    </w:p>
    <w:p>
      <w:pPr>
        <w:pStyle w:val="Normal"/>
        <w:rPr/>
      </w:pPr>
      <w:r>
        <w:rPr/>
      </w:r>
    </w:p>
    <w:p>
      <w:pPr>
        <w:pStyle w:val="BodyText2"/>
        <w:rPr/>
      </w:pPr>
      <w:r>
        <w:rPr/>
        <w:t>TRANSACTION AGREEMENT</w:t>
      </w:r>
    </w:p>
    <w:p>
      <w:pPr>
        <w:pStyle w:val="Normal"/>
        <w:rPr/>
      </w:pPr>
      <w:r>
        <w:rPr/>
      </w:r>
    </w:p>
    <w:p>
      <w:pPr>
        <w:pStyle w:val="Normal"/>
        <w:jc w:val="both"/>
        <w:rPr/>
      </w:pPr>
      <w:r>
        <w:rPr/>
        <w:t xml:space="preserve">This Confirmation Agreement shall form and effectuate the Agreement between </w:t>
      </w:r>
      <w:r>
        <w:rPr>
          <w:b/>
        </w:rPr>
        <w:t xml:space="preserve">Haldor-Topsoe, Inc. </w:t>
      </w:r>
      <w:r>
        <w:rPr/>
        <w:t>(“</w:t>
      </w:r>
      <w:r>
        <w:rPr>
          <w:u w:val="single"/>
        </w:rPr>
        <w:t>Customer</w:t>
      </w:r>
      <w:r>
        <w:rPr/>
        <w:t>” or “</w:t>
      </w:r>
      <w:r>
        <w:rPr>
          <w:u w:val="single"/>
        </w:rPr>
        <w:t>Buyer</w:t>
      </w:r>
      <w:r>
        <w:rPr/>
        <w:t xml:space="preserve">”) and </w:t>
      </w:r>
      <w:r>
        <w:rPr>
          <w:b/>
        </w:rPr>
        <w:t xml:space="preserve">Houston Pipe Line Company </w:t>
      </w:r>
      <w:r>
        <w:rPr/>
        <w:t>(“</w:t>
      </w:r>
      <w:r>
        <w:rPr>
          <w:u w:val="single"/>
        </w:rPr>
        <w:t>Company</w:t>
      </w:r>
      <w:r>
        <w:rPr/>
        <w:t>” or “</w:t>
      </w:r>
      <w:r>
        <w:rPr>
          <w:u w:val="single"/>
        </w:rPr>
        <w:t>Seller</w:t>
      </w:r>
      <w:r>
        <w:rPr/>
        <w:t>”) regarding the firm purchase and sale of Gas transaction under the following terms and conditions.  Customer to purchase and receive and Company to sell and deliver.  Transaction Number _____________.</w:t>
      </w:r>
    </w:p>
    <w:p>
      <w:pPr>
        <w:pStyle w:val="Normal"/>
        <w:rPr/>
      </w:pPr>
      <w:r>
        <w:rPr/>
      </w:r>
    </w:p>
    <w:tbl>
      <w:tblPr>
        <w:tblW w:w="9738" w:type="dxa"/>
        <w:jc w:val="start"/>
        <w:tblInd w:w="0" w:type="dxa"/>
        <w:tblLayout w:type="fixed"/>
        <w:tblCellMar>
          <w:top w:w="0" w:type="dxa"/>
          <w:start w:w="108" w:type="dxa"/>
          <w:bottom w:w="0" w:type="dxa"/>
          <w:end w:w="108" w:type="dxa"/>
        </w:tblCellMar>
      </w:tblPr>
      <w:tblGrid>
        <w:gridCol w:w="3168"/>
        <w:gridCol w:w="6552"/>
        <w:gridCol w:w="18"/>
      </w:tblGrid>
      <w:tr>
        <w:trPr/>
        <w:tc>
          <w:tcPr>
            <w:tcW w:w="3168" w:type="dxa"/>
            <w:tcBorders/>
          </w:tcPr>
          <w:p>
            <w:pPr>
              <w:pStyle w:val="Normal"/>
              <w:rPr>
                <w:b/>
              </w:rPr>
            </w:pPr>
            <w:r>
              <w:rPr>
                <w:b/>
              </w:rPr>
              <w:t>MINIMUM DAILY QUANTITY (“MinDQ”):</w:t>
            </w:r>
          </w:p>
          <w:p>
            <w:pPr>
              <w:pStyle w:val="Normal"/>
              <w:rPr>
                <w:b/>
              </w:rPr>
            </w:pPr>
            <w:r>
              <w:rPr>
                <w:b/>
              </w:rPr>
            </w:r>
          </w:p>
          <w:p>
            <w:pPr>
              <w:pStyle w:val="Normal"/>
              <w:rPr>
                <w:b/>
              </w:rPr>
            </w:pPr>
            <w:r>
              <w:rPr>
                <w:b/>
              </w:rPr>
            </w:r>
          </w:p>
          <w:p>
            <w:pPr>
              <w:pStyle w:val="Normal"/>
              <w:rPr/>
            </w:pPr>
            <w:r>
              <w:rPr>
                <w:b/>
              </w:rPr>
              <w:t>MAXIMUM DAILY QUANTITY (“</w:t>
            </w:r>
            <w:r>
              <w:rPr>
                <w:b/>
                <w:u w:val="single"/>
              </w:rPr>
              <w:t>MaxDQ</w:t>
            </w:r>
            <w:r>
              <w:rPr>
                <w:b/>
              </w:rPr>
              <w:t>”):</w:t>
            </w:r>
          </w:p>
          <w:p>
            <w:pPr>
              <w:pStyle w:val="Normal"/>
              <w:rPr>
                <w:b/>
              </w:rPr>
            </w:pPr>
            <w:r>
              <w:rPr>
                <w:b/>
              </w:rPr>
            </w:r>
          </w:p>
          <w:p>
            <w:pPr>
              <w:pStyle w:val="Normal"/>
              <w:rPr>
                <w:b/>
              </w:rPr>
            </w:pPr>
            <w:r>
              <w:rPr>
                <w:b/>
              </w:rPr>
              <w:t>DAILY CONTRACT QUANTITY (“DCQ”)</w:t>
            </w:r>
          </w:p>
        </w:tc>
        <w:tc>
          <w:tcPr>
            <w:tcW w:w="6570" w:type="dxa"/>
            <w:tcBorders/>
          </w:tcPr>
          <w:p>
            <w:pPr>
              <w:pStyle w:val="BlockText"/>
              <w:snapToGrid w:val="false"/>
              <w:ind w:end="144"/>
              <w:rPr>
                <w:b/>
                <w:sz w:val="24"/>
              </w:rPr>
            </w:pPr>
            <w:r>
              <w:rPr>
                <w:b/>
                <w:sz w:val="24"/>
              </w:rPr>
            </w:r>
          </w:p>
          <w:p>
            <w:pPr>
              <w:pStyle w:val="BlockText"/>
              <w:ind w:end="144"/>
              <w:rPr>
                <w:sz w:val="24"/>
              </w:rPr>
            </w:pPr>
            <w:r>
              <w:rPr>
                <w:sz w:val="24"/>
              </w:rPr>
              <w:t>Customer’s total natural gas requirements to be used in and for the operation of Customer’s facility located in Bayport in Harris County, Texas.</w:t>
            </w:r>
          </w:p>
          <w:p>
            <w:pPr>
              <w:pStyle w:val="BlockText"/>
              <w:ind w:end="144"/>
              <w:rPr>
                <w:sz w:val="24"/>
              </w:rPr>
            </w:pPr>
            <w:r>
              <w:rPr>
                <w:sz w:val="24"/>
              </w:rPr>
            </w:r>
          </w:p>
          <w:p>
            <w:pPr>
              <w:pStyle w:val="BlockText"/>
              <w:ind w:end="144"/>
              <w:rPr/>
            </w:pPr>
            <w:r>
              <w:rPr>
                <w:sz w:val="24"/>
              </w:rPr>
              <w:t>1,600 MMBtu per Day.</w:t>
            </w:r>
            <w:r>
              <w:rPr/>
              <w:t xml:space="preserve"> </w:t>
            </w:r>
          </w:p>
          <w:p>
            <w:pPr>
              <w:pStyle w:val="Normal"/>
              <w:ind w:start="-108" w:end="-144"/>
              <w:rPr/>
            </w:pPr>
            <w:r>
              <w:rPr/>
            </w:r>
          </w:p>
          <w:p>
            <w:pPr>
              <w:pStyle w:val="Normal"/>
              <w:ind w:start="-108" w:end="162"/>
              <w:jc w:val="both"/>
              <w:rPr/>
            </w:pPr>
            <w:r>
              <w:rPr/>
            </w:r>
          </w:p>
          <w:p>
            <w:pPr>
              <w:pStyle w:val="Normal"/>
              <w:ind w:start="-108" w:end="162"/>
              <w:jc w:val="both"/>
              <w:rPr/>
            </w:pPr>
            <w:r>
              <w:rPr/>
              <w:t>Customer shall nominate a quantity between the MinDQ and the MaxDQ to Company not less than five (5) Business Days prior to the beginning of a Month and once nominated such nominated quantity shall be the DCQ to be purchased and received by Customer each Day during the ensuing Month.</w:t>
            </w:r>
          </w:p>
        </w:tc>
      </w:tr>
      <w:tr>
        <w:trPr/>
        <w:tc>
          <w:tcPr>
            <w:tcW w:w="3168" w:type="dxa"/>
            <w:tcBorders/>
          </w:tcPr>
          <w:p>
            <w:pPr>
              <w:pStyle w:val="Normal"/>
              <w:snapToGrid w:val="false"/>
              <w:rPr/>
            </w:pPr>
            <w:r>
              <w:rPr/>
            </w:r>
          </w:p>
        </w:tc>
        <w:tc>
          <w:tcPr>
            <w:tcW w:w="6552" w:type="dxa"/>
            <w:tcBorders/>
          </w:tcPr>
          <w:p>
            <w:pPr>
              <w:pStyle w:val="Normal"/>
              <w:snapToGrid w:val="false"/>
              <w:ind w:start="-108" w:end="-144"/>
              <w:rPr/>
            </w:pPr>
            <w:r>
              <w:rPr/>
            </w:r>
          </w:p>
        </w:tc>
      </w:tr>
      <w:tr>
        <w:trPr/>
        <w:tc>
          <w:tcPr>
            <w:tcW w:w="3168" w:type="dxa"/>
            <w:tcBorders/>
          </w:tcPr>
          <w:p>
            <w:pPr>
              <w:pStyle w:val="Normal"/>
              <w:rPr>
                <w:b/>
              </w:rPr>
            </w:pPr>
            <w:r>
              <w:rPr>
                <w:b/>
              </w:rPr>
              <w:t>DELIVERY POINTS:</w:t>
            </w:r>
          </w:p>
        </w:tc>
        <w:tc>
          <w:tcPr>
            <w:tcW w:w="6552" w:type="dxa"/>
            <w:tcBorders/>
          </w:tcPr>
          <w:p>
            <w:pPr>
              <w:pStyle w:val="Normal"/>
              <w:ind w:start="-108" w:end="144"/>
              <w:jc w:val="both"/>
              <w:rPr/>
            </w:pPr>
            <w:r>
              <w:rPr/>
              <w:t>Company’s meter #8025 located at Customer’s Bayport, Texas facility.</w:t>
            </w:r>
          </w:p>
        </w:tc>
      </w:tr>
      <w:tr>
        <w:trPr/>
        <w:tc>
          <w:tcPr>
            <w:tcW w:w="3168" w:type="dxa"/>
            <w:tcBorders/>
          </w:tcPr>
          <w:p>
            <w:pPr>
              <w:pStyle w:val="Normal"/>
              <w:snapToGrid w:val="false"/>
              <w:rPr/>
            </w:pPr>
            <w:r>
              <w:rPr/>
            </w:r>
          </w:p>
        </w:tc>
        <w:tc>
          <w:tcPr>
            <w:tcW w:w="6552" w:type="dxa"/>
            <w:tcBorders/>
          </w:tcPr>
          <w:p>
            <w:pPr>
              <w:pStyle w:val="Normal"/>
              <w:snapToGrid w:val="false"/>
              <w:ind w:start="-108" w:end="-144"/>
              <w:rPr/>
            </w:pPr>
            <w:r>
              <w:rPr/>
            </w:r>
          </w:p>
        </w:tc>
      </w:tr>
      <w:tr>
        <w:trPr/>
        <w:tc>
          <w:tcPr>
            <w:tcW w:w="3168" w:type="dxa"/>
            <w:tcBorders/>
          </w:tcPr>
          <w:p>
            <w:pPr>
              <w:pStyle w:val="Normal"/>
              <w:rPr>
                <w:b/>
              </w:rPr>
            </w:pPr>
            <w:r>
              <w:rPr>
                <w:b/>
              </w:rPr>
              <w:t>CONTRACT PRICE:</w:t>
            </w:r>
          </w:p>
        </w:tc>
        <w:tc>
          <w:tcPr>
            <w:tcW w:w="6552" w:type="dxa"/>
            <w:tcBorders/>
          </w:tcPr>
          <w:p>
            <w:pPr>
              <w:pStyle w:val="Normal"/>
              <w:ind w:start="-108" w:end="144"/>
              <w:jc w:val="both"/>
              <w:rPr/>
            </w:pPr>
            <w:r>
              <w:rPr/>
              <w:t xml:space="preserve">The price per MMBtu for all volumes sold and delivered each day during a month shall be one hundred ten percent (110%) of the "Index Price" published in </w:t>
            </w:r>
            <w:r>
              <w:rPr>
                <w:u w:val="single"/>
              </w:rPr>
              <w:t>Inside F.E.R.C.'s Gas Market Report</w:t>
            </w:r>
            <w:r>
              <w:rPr/>
              <w:t xml:space="preserve"> for Houston Ship Channel index (large packages only) as listed in the table entitled "Delivered Spot-Gas Price" in the first-of-the-month issue of such publication for each Month during the Period of Delivery.</w:t>
            </w:r>
          </w:p>
          <w:p>
            <w:pPr>
              <w:pStyle w:val="Normal"/>
              <w:ind w:start="-108" w:end="144"/>
              <w:jc w:val="both"/>
              <w:rPr/>
            </w:pPr>
            <w:r>
              <w:rPr/>
            </w:r>
          </w:p>
        </w:tc>
      </w:tr>
      <w:tr>
        <w:trPr/>
        <w:tc>
          <w:tcPr>
            <w:tcW w:w="3168" w:type="dxa"/>
            <w:tcBorders/>
          </w:tcPr>
          <w:p>
            <w:pPr>
              <w:pStyle w:val="Normal"/>
              <w:rPr>
                <w:b/>
              </w:rPr>
            </w:pPr>
            <w:r>
              <w:rPr>
                <w:b/>
              </w:rPr>
              <w:t>PERIOD OF DELIVERY:</w:t>
            </w:r>
          </w:p>
        </w:tc>
        <w:tc>
          <w:tcPr>
            <w:tcW w:w="6552" w:type="dxa"/>
            <w:tcBorders/>
          </w:tcPr>
          <w:p>
            <w:pPr>
              <w:pStyle w:val="Normal"/>
              <w:ind w:start="-108" w:end="0"/>
              <w:rPr/>
            </w:pPr>
            <w:r>
              <w:rPr/>
              <w:t>September 1, 2001 through August 31, 2004.</w:t>
            </w:r>
          </w:p>
        </w:tc>
      </w:tr>
      <w:tr>
        <w:trPr/>
        <w:tc>
          <w:tcPr>
            <w:tcW w:w="3168" w:type="dxa"/>
            <w:tcBorders/>
          </w:tcPr>
          <w:p>
            <w:pPr>
              <w:pStyle w:val="Normal"/>
              <w:snapToGrid w:val="false"/>
              <w:rPr/>
            </w:pPr>
            <w:r>
              <w:rPr/>
            </w:r>
          </w:p>
        </w:tc>
        <w:tc>
          <w:tcPr>
            <w:tcW w:w="6552" w:type="dxa"/>
            <w:tcBorders/>
          </w:tcPr>
          <w:p>
            <w:pPr>
              <w:pStyle w:val="Normal"/>
              <w:snapToGrid w:val="false"/>
              <w:ind w:start="-108" w:end="0"/>
              <w:rPr/>
            </w:pPr>
            <w:r>
              <w:rPr/>
            </w:r>
          </w:p>
        </w:tc>
      </w:tr>
      <w:tr>
        <w:trPr/>
        <w:tc>
          <w:tcPr>
            <w:tcW w:w="3168" w:type="dxa"/>
            <w:tcBorders/>
          </w:tcPr>
          <w:p>
            <w:pPr>
              <w:pStyle w:val="Normal"/>
              <w:jc w:val="both"/>
              <w:rPr>
                <w:b/>
              </w:rPr>
            </w:pPr>
            <w:r>
              <w:rPr>
                <w:b/>
              </w:rPr>
              <w:t>SPOT PRICE LOCATION:</w:t>
            </w:r>
          </w:p>
        </w:tc>
        <w:tc>
          <w:tcPr>
            <w:tcW w:w="6552" w:type="dxa"/>
            <w:tcBorders/>
          </w:tcPr>
          <w:p>
            <w:pPr>
              <w:pStyle w:val="Normal"/>
              <w:ind w:start="-90" w:end="0"/>
              <w:jc w:val="both"/>
              <w:rPr/>
            </w:pPr>
            <w:r>
              <w:rPr/>
              <w:t>East-Houston-Katy, Houston Ship Channel</w:t>
            </w:r>
          </w:p>
        </w:tc>
      </w:tr>
      <w:tr>
        <w:trPr/>
        <w:tc>
          <w:tcPr>
            <w:tcW w:w="3168" w:type="dxa"/>
            <w:tcBorders/>
          </w:tcPr>
          <w:p>
            <w:pPr>
              <w:pStyle w:val="Normal"/>
              <w:snapToGrid w:val="false"/>
              <w:rPr/>
            </w:pPr>
            <w:r>
              <w:rPr/>
            </w:r>
          </w:p>
        </w:tc>
        <w:tc>
          <w:tcPr>
            <w:tcW w:w="6552" w:type="dxa"/>
            <w:tcBorders/>
          </w:tcPr>
          <w:p>
            <w:pPr>
              <w:pStyle w:val="Normal"/>
              <w:snapToGrid w:val="false"/>
              <w:ind w:start="-108" w:end="0"/>
              <w:jc w:val="both"/>
              <w:rPr/>
            </w:pPr>
            <w:r>
              <w:rPr/>
            </w:r>
          </w:p>
        </w:tc>
      </w:tr>
      <w:tr>
        <w:trPr/>
        <w:tc>
          <w:tcPr>
            <w:tcW w:w="3168" w:type="dxa"/>
            <w:tcBorders/>
          </w:tcPr>
          <w:p>
            <w:pPr>
              <w:pStyle w:val="Normal"/>
              <w:rPr>
                <w:b/>
              </w:rPr>
            </w:pPr>
            <w:r>
              <w:rPr>
                <w:b/>
              </w:rPr>
              <w:t>OTHER:</w:t>
            </w:r>
          </w:p>
        </w:tc>
        <w:tc>
          <w:tcPr>
            <w:tcW w:w="6552" w:type="dxa"/>
            <w:tcBorders/>
          </w:tcPr>
          <w:p>
            <w:pPr>
              <w:pStyle w:val="Normal"/>
              <w:ind w:start="-108" w:end="0"/>
              <w:jc w:val="both"/>
              <w:rPr/>
            </w:pPr>
            <w:r>
              <w:rPr/>
              <w:t>N/A</w:t>
            </w:r>
          </w:p>
        </w:tc>
      </w:tr>
    </w:tbl>
    <w:p>
      <w:pPr>
        <w:pStyle w:val="BodyText"/>
        <w:rPr/>
      </w:pPr>
      <w:r>
        <w:rPr/>
      </w:r>
    </w:p>
    <w:p>
      <w:pPr>
        <w:pStyle w:val="Normal"/>
        <w:tabs>
          <w:tab w:val="clear" w:pos="720"/>
          <w:tab w:val="center" w:pos="5760" w:leader="none"/>
        </w:tabs>
        <w:jc w:val="both"/>
        <w:rPr>
          <w:rFonts w:ascii="Arial Narrow" w:hAnsi="Arial Narrow" w:cs="Arial Narrow"/>
          <w:b/>
          <w:sz w:val="18"/>
        </w:rPr>
      </w:pPr>
      <w:r>
        <w:rPr/>
        <w:t>This Transaction Agreement is being provided pursuant to and in accordance with the ENFOLIO Master Firm Purchase/Sale Agreement dated effective as of April 1, 2001 between Customer and Company (the "</w:t>
      </w:r>
      <w:r>
        <w:rPr>
          <w:u w:val="single"/>
        </w:rPr>
        <w:t>Agreement</w:t>
      </w:r>
      <w:r>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Transaction Agreement.  Any objection of Customer to this Transaction Agreement must be made by written notice to Company prior to the Confirm Deadline, as agreed and defined in the Agreement.</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sectPr>
      <w:headerReference w:type="default" r:id="rId10"/>
      <w:headerReference w:type="first" r:id="rId11"/>
      <w:footerReference w:type="default" r:id="rId12"/>
      <w:footerReference w:type="first" r:id="rId13"/>
      <w:type w:val="nextPage"/>
      <w:pgSz w:w="12240" w:h="15840"/>
      <w:pgMar w:left="720" w:right="720" w:gutter="0" w:header="720" w:top="776"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p>
    <w:pPr>
      <w:pStyle w:val="Footer"/>
      <w:jc w:val="both"/>
      <w:rPr>
        <w:sz w:val="12"/>
      </w:rPr>
    </w:pPr>
    <w:r>
      <w:rPr>
        <w:sz w:val="12"/>
      </w:rPr>
      <w:fldChar w:fldCharType="begin"/>
    </w:r>
    <w:r>
      <w:rPr>
        <w:sz w:val="12"/>
      </w:rPr>
      <w:instrText xml:space="preserve"> FILENAME \p </w:instrText>
    </w:r>
    <w:r>
      <w:rPr>
        <w:sz w:val="12"/>
      </w:rPr>
      <w:fldChar w:fldCharType="separate"/>
    </w:r>
    <w:r>
      <w:rPr>
        <w:sz w:val="12"/>
      </w:rPr>
      <w:t>/mnt/main-storage/datasets/enron-docs/doc/2001_015ctr-6bb9c127455d87565581d94db86bf0fc8df570c6a2db9c29b7fc8c3dfbee199e.doc</w:t>
    </w:r>
    <w:r>
      <w:rPr>
        <w:sz w:val="12"/>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/mnt/main-storage/datasets/enron-docs/doc/2001_015ctr-6bb9c127455d87565581d94db86bf0fc8df570c6a2db9c29b7fc8c3dfbee199e.doc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/mnt/main-storage/datasets/enron-docs/doc/2001_015ctr-6bb9c127455d87565581d94db86bf0fc8df570c6a2db9c29b7fc8c3dfbee199e.doc</w:t>
    </w:r>
    <w:r>
      <w:rP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p>
    <w:pPr>
      <w:pStyle w:val="Footer"/>
      <w:jc w:val="both"/>
      <w:rPr>
        <w:sz w:val="12"/>
      </w:rPr>
    </w:pPr>
    <w:r>
      <w:rPr>
        <w:sz w:val="12"/>
      </w:rPr>
      <w:fldChar w:fldCharType="begin"/>
    </w:r>
    <w:r>
      <w:rPr>
        <w:sz w:val="12"/>
      </w:rPr>
      <w:instrText xml:space="preserve"> FILENAME \p </w:instrText>
    </w:r>
    <w:r>
      <w:rPr>
        <w:sz w:val="12"/>
      </w:rPr>
      <w:fldChar w:fldCharType="separate"/>
    </w:r>
    <w:r>
      <w:rPr>
        <w:sz w:val="12"/>
      </w:rPr>
      <w:t>/mnt/main-storage/datasets/enron-docs/doc/2001_015ctr-6bb9c127455d87565581d94db86bf0fc8df570c6a2db9c29b7fc8c3dfbee199e.doc</w:t>
    </w:r>
    <w:r>
      <w:rPr>
        <w:sz w:val="12"/>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/mnt/main-storage/datasets/enron-docs/doc/2001_015ctr-6bb9c127455d87565581d94db86bf0fc8df570c6a2db9c29b7fc8c3dfbee199e.doc</w:t>
    </w:r>
    <w:r>
      <w:rPr>
        <w:sz w:val="12"/>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p>
    <w:pPr>
      <w:pStyle w:val="Normal"/>
      <w:tabs>
        <w:tab w:val="clear" w:pos="720"/>
        <w:tab w:val="left" w:pos="4320" w:leader="none"/>
        <w:tab w:val="left" w:pos="8280" w:leader="none"/>
      </w:tabs>
      <w:jc w:val="both"/>
      <w:rPr>
        <w:sz w:val="12"/>
      </w:rPr>
    </w:pPr>
    <w:r>
      <w:rPr>
        <w:sz w:val="12"/>
      </w:rPr>
      <w:fldChar w:fldCharType="begin"/>
    </w:r>
    <w:r>
      <w:rPr>
        <w:sz w:val="12"/>
      </w:rPr>
      <w:instrText xml:space="preserve"> FILENAME \p </w:instrText>
    </w:r>
    <w:r>
      <w:rPr>
        <w:sz w:val="12"/>
      </w:rPr>
      <w:fldChar w:fldCharType="separate"/>
    </w:r>
    <w:r>
      <w:rPr>
        <w:sz w:val="12"/>
      </w:rPr>
      <w:t>/mnt/main-storage/datasets/enron-docs/doc/2001_015ctr-6bb9c127455d87565581d94db86bf0fc8df570c6a2db9c29b7fc8c3dfbee199e.doc</w:t>
    </w:r>
    <w:r>
      <w:rPr>
        <w:sz w:val="12"/>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p>
    <w:pPr>
      <w:pStyle w:val="Normal"/>
      <w:tabs>
        <w:tab w:val="clear" w:pos="720"/>
        <w:tab w:val="left" w:pos="4320" w:leader="none"/>
        <w:tab w:val="left" w:pos="8280" w:leader="none"/>
      </w:tabs>
      <w:jc w:val="both"/>
      <w:rPr>
        <w:sz w:val="12"/>
      </w:rPr>
    </w:pPr>
    <w:r>
      <w:rPr>
        <w:sz w:val="12"/>
      </w:rPr>
      <w:fldChar w:fldCharType="begin"/>
    </w:r>
    <w:r>
      <w:rPr>
        <w:sz w:val="12"/>
      </w:rPr>
      <w:instrText xml:space="preserve"> FILENAME \p </w:instrText>
    </w:r>
    <w:r>
      <w:rPr>
        <w:sz w:val="12"/>
      </w:rPr>
      <w:fldChar w:fldCharType="separate"/>
    </w:r>
    <w:r>
      <w:rPr>
        <w:sz w:val="12"/>
      </w:rPr>
      <w:t>/mnt/main-storage/datasets/enron-docs/doc/2001_015ctr-6bb9c127455d87565581d94db86bf0fc8df570c6a2db9c29b7fc8c3dfbee199e.doc</w:t>
    </w:r>
    <w:r>
      <w:rPr>
        <w:sz w:val="12"/>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p>
    <w:pPr>
      <w:pStyle w:val="Normal"/>
      <w:tabs>
        <w:tab w:val="clear" w:pos="720"/>
        <w:tab w:val="left" w:pos="4320" w:leader="none"/>
        <w:tab w:val="left" w:pos="8280" w:leader="none"/>
      </w:tabs>
      <w:jc w:val="both"/>
      <w:rPr>
        <w:sz w:val="12"/>
      </w:rPr>
    </w:pPr>
    <w:r>
      <w:rPr>
        <w:sz w:val="12"/>
      </w:rPr>
      <w:fldChar w:fldCharType="begin"/>
    </w:r>
    <w:r>
      <w:rPr>
        <w:sz w:val="12"/>
      </w:rPr>
      <w:instrText xml:space="preserve"> FILENAME \p </w:instrText>
    </w:r>
    <w:r>
      <w:rPr>
        <w:sz w:val="12"/>
      </w:rPr>
      <w:fldChar w:fldCharType="separate"/>
    </w:r>
    <w:r>
      <w:rPr>
        <w:sz w:val="12"/>
      </w:rPr>
      <w:t>/mnt/main-storage/datasets/enron-docs/doc/2001_015ctr-6bb9c127455d87565581d94db86bf0fc8df570c6a2db9c29b7fc8c3dfbee199e.doc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Haldor-Topsoe, Inc.</w:t>
    </w:r>
  </w:p>
  <w:p>
    <w:pPr>
      <w:pStyle w:val="Header"/>
      <w:rPr/>
    </w:pPr>
    <w:r>
      <w:rPr/>
      <w:t>May 9, 2001</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78" w:type="dxa"/>
      <w:jc w:val="start"/>
      <w:tblInd w:w="0" w:type="dxa"/>
      <w:tblLayout w:type="fixed"/>
      <w:tblCellMar>
        <w:top w:w="0" w:type="dxa"/>
        <w:start w:w="108" w:type="dxa"/>
        <w:bottom w:w="0" w:type="dxa"/>
        <w:end w:w="108" w:type="dxa"/>
      </w:tblCellMar>
    </w:tblPr>
    <w:tblGrid>
      <w:gridCol w:w="4601"/>
      <w:gridCol w:w="4777"/>
    </w:tblGrid>
    <w:tr>
      <w:trPr/>
      <w:tc>
        <w:tcPr>
          <w:tcW w:w="4601" w:type="dxa"/>
          <w:tcBorders/>
        </w:tcPr>
        <w:p>
          <w:pPr>
            <w:pStyle w:val="Header"/>
            <w:rPr/>
          </w:pPr>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1342981804" r:id="rId1"/>
            </w:object>
          </w:r>
        </w:p>
      </w:tc>
      <w:tc>
        <w:tcPr>
          <w:tcW w:w="4777"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tabs>
              <w:tab w:val="clear" w:pos="4320"/>
              <w:tab w:val="center" w:pos="4489" w:leader="none"/>
              <w:tab w:val="right" w:pos="8640" w:leader="none"/>
            </w:tabs>
            <w:ind w:start="1969" w:end="0"/>
            <w:rPr>
              <w:rFonts w:ascii="Arial" w:hAnsi="Arial" w:cs="Arial"/>
              <w:b/>
              <w:sz w:val="18"/>
            </w:rPr>
          </w:pPr>
          <w:r>
            <w:rPr>
              <w:rFonts w:cs="Arial" w:ascii="Arial" w:hAnsi="Arial"/>
              <w:b/>
              <w:sz w:val="18"/>
            </w:rPr>
            <w:t>Houston Pipe Line Company</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Department">
    <w:name w:val="Department"/>
    <w:basedOn w:val="Normal"/>
    <w:qFormat/>
    <w:pPr/>
    <w:rPr>
      <w:rFonts w:ascii="Arial" w:hAnsi="Arial" w:cs="Arial"/>
      <w:sz w:val="20"/>
    </w:rPr>
  </w:style>
  <w:style w:type="paragraph" w:styleId="BodyText2">
    <w:name w:val="Body Text 2"/>
    <w:basedOn w:val="Normal"/>
    <w:qFormat/>
    <w:pPr>
      <w:jc w:val="center"/>
    </w:pPr>
    <w:rPr>
      <w:b/>
      <w:sz w:val="20"/>
    </w:rPr>
  </w:style>
  <w:style w:type="paragraph" w:styleId="BlockText">
    <w:name w:val="Block Text"/>
    <w:basedOn w:val="Normal"/>
    <w:qFormat/>
    <w:pPr>
      <w:ind w:hanging="0" w:start="-108" w:end="-144"/>
      <w:jc w:val="both"/>
    </w:pPr>
    <w:rPr>
      <w:sz w:val="22"/>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9.xml"/><Relationship Id="rId13" Type="http://schemas.openxmlformats.org/officeDocument/2006/relationships/footer" Target="footer10.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2001-04-24T18:11:00Z</dcterms:created>
  <dc:creator>ECT</dc:creator>
  <dc:description/>
  <dc:language>en-CA</dc:language>
  <cp:lastModifiedBy>dhyvl</cp:lastModifiedBy>
  <cp:lastPrinted>2001-04-26T09:34:00Z</cp:lastPrinted>
  <dcterms:modified xsi:type="dcterms:W3CDTF">2001-05-09T13:03:00Z</dcterms:modified>
  <cp:revision>15</cp:revision>
  <dc:subject/>
  <dc:title>ENFOLIO® MASTER FIRM PURCHASE/SALE AGREEMENT        </dc:title>
</cp:coreProperties>
</file>