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601"/>
        <w:gridCol w:w="6397"/>
      </w:tblGrid>
      <w:tr>
        <w:trPr/>
        <w:tc>
          <w:tcPr>
            <w:tcW w:w="4601" w:type="dxa"/>
            <w:tcBorders>
              <w:top w:val="dashed" w:sz="6" w:space="0" w:color="auto"/>
              <w:start w:val="dashed" w:sz="6" w:space="0" w:color="auto"/>
              <w:bottom w:val="dashed" w:sz="6" w:space="0" w:color="auto"/>
              <w:end w:val="dashed" w:sz="6" w:space="0" w:color="auto"/>
            </w:tcBorders>
          </w:tcPr>
          <w:p>
            <w:pPr>
              <w:pStyle w:val="Header"/>
              <w:rPr>
                <w:sz w:val="20"/>
                <w:szCs w:val="20"/>
              </w:rPr>
            </w:pPr>
            <w:r>
              <w:rPr>
                <w:sz w:val="20"/>
                <w:szCs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4410" cy="987425"/>
                          </a:xfrm>
                          <a:prstGeom prst="rect">
                            <a:avLst/>
                          </a:prstGeom>
                          <a:noFill/>
                        </pic:spPr>
                      </pic:pic>
                    </a:graphicData>
                  </a:graphic>
                </wp:inline>
              </w:drawing>
            </w:r>
          </w:p>
        </w:tc>
        <w:tc>
          <w:tcPr>
            <w:tcW w:w="6397" w:type="dxa"/>
            <w:tcBorders>
              <w:top w:val="dashed" w:sz="6" w:space="0" w:color="auto"/>
              <w:start w:val="dashed" w:sz="6" w:space="0" w:color="auto"/>
              <w:bottom w:val="dashed" w:sz="6" w:space="0" w:color="auto"/>
              <w:end w:val="dashed" w:sz="6" w:space="0" w:color="auto"/>
            </w:tcBorders>
          </w:tcPr>
          <w:p>
            <w:pPr>
              <w:pStyle w:val="Header"/>
              <w:snapToGrid w:val="false"/>
              <w:ind w:start="3319" w:end="0"/>
              <w:rPr>
                <w:rFonts w:ascii="Arial" w:hAnsi="Arial" w:eastAsia="Arial" w:cs="Arial"/>
                <w:b/>
                <w:bCs/>
                <w:sz w:val="18"/>
                <w:szCs w:val="18"/>
              </w:rPr>
            </w:pPr>
            <w:r>
              <w:rPr>
                <w:rFonts w:eastAsia="Arial" w:cs="Arial" w:ascii="Arial" w:hAnsi="Arial"/>
                <w:b/>
                <w:bCs/>
                <w:sz w:val="18"/>
                <w:szCs w:val="18"/>
              </w:rPr>
            </w:r>
          </w:p>
          <w:p>
            <w:pPr>
              <w:pStyle w:val="Header"/>
              <w:ind w:start="1969" w:end="0"/>
              <w:rPr>
                <w:rFonts w:ascii="Arial" w:hAnsi="Arial" w:eastAsia="Arial" w:cs="Arial"/>
                <w:b/>
                <w:bCs/>
                <w:sz w:val="18"/>
                <w:szCs w:val="18"/>
              </w:rPr>
            </w:pPr>
            <w:r>
              <w:rPr>
                <w:rFonts w:eastAsia="Arial" w:cs="Arial" w:ascii="Arial" w:hAnsi="Arial"/>
                <w:b/>
                <w:bCs/>
                <w:sz w:val="18"/>
                <w:szCs w:val="18"/>
              </w:rPr>
            </w:r>
          </w:p>
          <w:p>
            <w:pPr>
              <w:pStyle w:val="Header"/>
              <w:ind w:firstLine="1350" w:start="1969" w:end="0"/>
              <w:rPr>
                <w:rFonts w:ascii="Arial" w:hAnsi="Arial" w:eastAsia="Arial" w:cs="Arial"/>
                <w:b/>
                <w:bCs/>
                <w:sz w:val="18"/>
                <w:szCs w:val="18"/>
              </w:rPr>
            </w:pPr>
            <w:r>
              <w:rPr>
                <w:rFonts w:eastAsia="Arial" w:cs="Arial" w:ascii="Arial" w:hAnsi="Arial"/>
                <w:b/>
                <w:bCs/>
                <w:sz w:val="18"/>
                <w:szCs w:val="18"/>
              </w:rPr>
              <w:t>Enron North America Corp.</w:t>
            </w:r>
          </w:p>
          <w:p>
            <w:pPr>
              <w:pStyle w:val="Header"/>
              <w:ind w:firstLine="1350" w:start="1969" w:end="0"/>
              <w:rPr>
                <w:rFonts w:ascii="Arial" w:hAnsi="Arial" w:eastAsia="Arial" w:cs="Arial"/>
                <w:i/>
                <w:i/>
                <w:iCs/>
                <w:sz w:val="16"/>
                <w:szCs w:val="16"/>
              </w:rPr>
            </w:pPr>
            <w:r>
              <w:rPr>
                <w:rFonts w:eastAsia="Arial" w:cs="Arial" w:ascii="Arial" w:hAnsi="Arial"/>
                <w:i/>
                <w:iCs/>
                <w:sz w:val="16"/>
                <w:szCs w:val="16"/>
              </w:rPr>
              <w:t>P.O. Box 1188</w:t>
            </w:r>
          </w:p>
          <w:p>
            <w:pPr>
              <w:pStyle w:val="Header"/>
              <w:ind w:firstLine="1350" w:start="1969" w:end="0"/>
              <w:rPr>
                <w:rFonts w:ascii="Arial" w:hAnsi="Arial" w:eastAsia="Arial" w:cs="Arial"/>
                <w:i/>
                <w:i/>
                <w:iCs/>
                <w:sz w:val="16"/>
                <w:szCs w:val="16"/>
              </w:rPr>
            </w:pPr>
            <w:r>
              <w:rPr>
                <w:rFonts w:eastAsia="Arial" w:cs="Arial" w:ascii="Arial" w:hAnsi="Arial"/>
                <w:i/>
                <w:iCs/>
                <w:sz w:val="16"/>
                <w:szCs w:val="16"/>
              </w:rPr>
              <w:t>Houston, TX  77251-1188</w:t>
            </w:r>
          </w:p>
          <w:p>
            <w:pPr>
              <w:pStyle w:val="Header"/>
              <w:ind w:start="1969" w:end="0"/>
              <w:rPr>
                <w:rFonts w:ascii="Arial" w:hAnsi="Arial" w:eastAsia="Arial" w:cs="Arial"/>
                <w:i/>
                <w:i/>
                <w:iCs/>
                <w:sz w:val="16"/>
                <w:szCs w:val="16"/>
              </w:rPr>
            </w:pPr>
            <w:r>
              <w:rPr>
                <w:rFonts w:eastAsia="Arial" w:cs="Arial" w:ascii="Arial" w:hAnsi="Arial"/>
                <w:i/>
                <w:iCs/>
                <w:sz w:val="16"/>
                <w:szCs w:val="16"/>
              </w:rPr>
            </w:r>
          </w:p>
          <w:p>
            <w:pPr>
              <w:pStyle w:val="Header"/>
              <w:ind w:start="1969" w:end="0"/>
              <w:rPr>
                <w:rFonts w:ascii="Arial" w:hAnsi="Arial" w:eastAsia="Arial" w:cs="Arial"/>
                <w:i/>
                <w:i/>
                <w:iCs/>
                <w:sz w:val="16"/>
                <w:szCs w:val="16"/>
              </w:rPr>
            </w:pPr>
            <w:r>
              <w:rPr>
                <w:rFonts w:eastAsia="Arial" w:cs="Arial" w:ascii="Arial" w:hAnsi="Arial"/>
                <w:i/>
                <w:iCs/>
                <w:sz w:val="16"/>
                <w:szCs w:val="16"/>
              </w:rPr>
            </w:r>
          </w:p>
        </w:tc>
      </w:tr>
    </w:tbl>
    <w:p>
      <w:pPr>
        <w:pStyle w:val="Normal"/>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sz w:val="20"/>
          <w:szCs w:val="20"/>
        </w:rPr>
      </w:pPr>
      <w:r>
        <w:rPr>
          <w:rFonts w:eastAsia="Arial Narrow" w:cs="Arial Narrow" w:ascii="Arial Narrow" w:hAnsi="Arial Narrow"/>
          <w:sz w:val="20"/>
          <w:szCs w:val="20"/>
        </w:rPr>
        <w:t>February 7, 2001</w:t>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FootnoteText"/>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rPr>
          <w:rFonts w:ascii="Arial Narrow" w:hAnsi="Arial Narrow" w:eastAsia="Arial Narrow" w:cs="Arial Narrow"/>
          <w:sz w:val="20"/>
          <w:szCs w:val="20"/>
        </w:rPr>
      </w:pPr>
      <w:r>
        <w:rPr>
          <w:rFonts w:eastAsia="Arial Narrow" w:cs="Arial Narrow" w:ascii="Arial Narrow" w:hAnsi="Arial Narrow"/>
          <w:sz w:val="20"/>
          <w:szCs w:val="20"/>
        </w:rPr>
        <w:t>Heartland Steel, Inc.</w:t>
      </w:r>
    </w:p>
    <w:p>
      <w:pPr>
        <w:pStyle w:val="Normal"/>
        <w:rPr>
          <w:rFonts w:ascii="Arial Narrow" w:hAnsi="Arial Narrow" w:eastAsia="Arial Narrow" w:cs="Arial Narrow"/>
          <w:sz w:val="20"/>
          <w:szCs w:val="20"/>
        </w:rPr>
      </w:pPr>
      <w:r>
        <w:rPr>
          <w:rFonts w:eastAsia="Arial Narrow" w:cs="Arial Narrow" w:ascii="Arial Narrow" w:hAnsi="Arial Narrow"/>
          <w:sz w:val="20"/>
          <w:szCs w:val="20"/>
        </w:rPr>
        <w:t>1199 E. Canvas Back Drive</w:t>
      </w:r>
    </w:p>
    <w:p>
      <w:pPr>
        <w:pStyle w:val="Normal"/>
        <w:rPr>
          <w:rFonts w:ascii="Arial Narrow" w:hAnsi="Arial Narrow" w:eastAsia="Arial Narrow" w:cs="Arial Narrow"/>
          <w:sz w:val="20"/>
          <w:szCs w:val="20"/>
        </w:rPr>
      </w:pPr>
      <w:r>
        <w:rPr>
          <w:rFonts w:eastAsia="Arial Narrow" w:cs="Arial Narrow" w:ascii="Arial Narrow" w:hAnsi="Arial Narrow"/>
          <w:sz w:val="20"/>
          <w:szCs w:val="20"/>
        </w:rPr>
        <w:t>Terre Haute, Indiana  47802</w:t>
      </w:r>
    </w:p>
    <w:p>
      <w:pPr>
        <w:pStyle w:val="Normal"/>
        <w:rPr>
          <w:rFonts w:ascii="Arial Narrow" w:hAnsi="Arial Narrow" w:eastAsia="Arial Narrow" w:cs="Arial Narrow"/>
          <w:sz w:val="20"/>
          <w:szCs w:val="20"/>
        </w:rPr>
      </w:pPr>
      <w:r>
        <w:rPr>
          <w:rFonts w:eastAsia="Arial Narrow" w:cs="Arial Narrow" w:ascii="Arial Narrow" w:hAnsi="Arial Narrow"/>
          <w:sz w:val="20"/>
          <w:szCs w:val="20"/>
        </w:rPr>
      </w:r>
    </w:p>
    <w:p>
      <w:pPr>
        <w:pStyle w:val="Normal"/>
        <w:rPr>
          <w:rFonts w:ascii="Arial Narrow" w:hAnsi="Arial Narrow" w:eastAsia="Arial Narrow" w:cs="Arial Narrow"/>
          <w:sz w:val="20"/>
          <w:szCs w:val="20"/>
        </w:rPr>
      </w:pPr>
      <w:r>
        <w:rPr>
          <w:rFonts w:eastAsia="Arial Narrow" w:cs="Arial Narrow" w:ascii="Arial Narrow" w:hAnsi="Arial Narrow"/>
          <w:sz w:val="20"/>
          <w:szCs w:val="20"/>
        </w:rPr>
        <w:t>Attn:  Documentation Department</w:t>
      </w:r>
    </w:p>
    <w:p>
      <w:pPr>
        <w:pStyle w:val="Normal"/>
        <w:rPr>
          <w:rFonts w:ascii="Arial Narrow" w:hAnsi="Arial Narrow" w:eastAsia="Arial Narrow" w:cs="Arial Narrow"/>
          <w:sz w:val="20"/>
          <w:szCs w:val="20"/>
        </w:rPr>
      </w:pPr>
      <w:r>
        <w:rPr>
          <w:rFonts w:eastAsia="Arial Narrow" w:cs="Arial Narrow" w:ascii="Arial Narrow" w:hAnsi="Arial Narrow"/>
          <w:sz w:val="20"/>
          <w:szCs w:val="20"/>
        </w:rPr>
        <w:t>Fax No.:  (812) 299-3765</w:t>
      </w:r>
    </w:p>
    <w:p>
      <w:pPr>
        <w:pStyle w:val="Normal"/>
        <w:rPr>
          <w:rFonts w:ascii="Arial Narrow" w:hAnsi="Arial Narrow" w:eastAsia="Arial Narrow" w:cs="Arial Narrow"/>
          <w:b/>
          <w:bCs/>
          <w:sz w:val="20"/>
          <w:szCs w:val="20"/>
        </w:rPr>
      </w:pPr>
      <w:r>
        <w:rPr>
          <w:rFonts w:eastAsia="Arial Narrow" w:cs="Arial Narrow" w:ascii="Arial Narrow" w:hAnsi="Arial Narrow"/>
          <w:sz w:val="20"/>
          <w:szCs w:val="20"/>
        </w:rPr>
        <w:t>Transaction No.: ________________</w:t>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sz w:val="20"/>
          <w:szCs w:val="20"/>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position w:val="6"/>
          <w:sz w:val="20"/>
          <w:szCs w:val="20"/>
        </w:rPr>
        <w:t xml:space="preserve"> </w:t>
      </w:r>
      <w:r>
        <w:rPr>
          <w:rFonts w:eastAsia="Arial Narrow" w:cs="Arial Narrow" w:ascii="Arial Narrow" w:hAnsi="Arial Narrow"/>
          <w:b/>
          <w:bCs/>
          <w:sz w:val="20"/>
          <w:szCs w:val="20"/>
        </w:rPr>
        <w:t>"SPOT" CONFIRMATION--ENFOLIO</w:t>
      </w:r>
      <w:r>
        <w:rPr>
          <w:rFonts w:eastAsia="Symbol" w:cs="Symbol" w:ascii="Symbol" w:hAnsi="Symbol"/>
          <w:b/>
          <w:bCs/>
          <w:position w:val="6"/>
          <w:sz w:val="20"/>
          <w:szCs w:val="20"/>
        </w:rPr>
        <w:sym w:font="Symbol" w:char="e2"/>
      </w:r>
      <w:r>
        <w:rPr>
          <w:rFonts w:eastAsia="Arial Narrow" w:cs="Arial Narrow" w:ascii="Arial Narrow" w:hAnsi="Arial Narrow"/>
          <w:b/>
          <w:bCs/>
          <w:sz w:val="20"/>
          <w:szCs w:val="20"/>
        </w:rPr>
        <w:t xml:space="preserve"> "SPOT" GENERAL TERMS &amp; CONDITIONS GOVERN</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sz w:val="20"/>
          <w:szCs w:val="20"/>
        </w:rPr>
        <w:t>This Spot Confirmation shall confirm the Transaction agreed to and shall be binding between Heartland Steel, Inc. ("</w:t>
      </w:r>
      <w:r>
        <w:rPr>
          <w:rFonts w:eastAsia="Arial Narrow" w:cs="Arial Narrow" w:ascii="Arial Narrow" w:hAnsi="Arial Narrow"/>
          <w:sz w:val="20"/>
          <w:szCs w:val="20"/>
          <w:u w:val="single"/>
        </w:rPr>
        <w:t>Heartland</w:t>
      </w:r>
      <w:r>
        <w:rPr>
          <w:rFonts w:eastAsia="Arial Narrow" w:cs="Arial Narrow" w:ascii="Arial Narrow" w:hAnsi="Arial Narrow"/>
          <w:sz w:val="20"/>
          <w:szCs w:val="20"/>
        </w:rPr>
        <w:t>" or "</w:t>
      </w:r>
      <w:r>
        <w:rPr>
          <w:rFonts w:eastAsia="Arial Narrow" w:cs="Arial Narrow" w:ascii="Arial Narrow" w:hAnsi="Arial Narrow"/>
          <w:sz w:val="20"/>
          <w:szCs w:val="20"/>
          <w:u w:val="single"/>
        </w:rPr>
        <w:t>Customer</w:t>
      </w:r>
      <w:r>
        <w:rPr>
          <w:rFonts w:eastAsia="Arial Narrow" w:cs="Arial Narrow" w:ascii="Arial Narrow" w:hAnsi="Arial Narrow"/>
          <w:sz w:val="20"/>
          <w:szCs w:val="20"/>
        </w:rPr>
        <w:t>") and Enron North America Corp. ("</w:t>
      </w:r>
      <w:r>
        <w:rPr>
          <w:rFonts w:eastAsia="Arial Narrow" w:cs="Arial Narrow" w:ascii="Arial Narrow" w:hAnsi="Arial Narrow"/>
          <w:sz w:val="20"/>
          <w:szCs w:val="20"/>
          <w:u w:val="single"/>
        </w:rPr>
        <w:t>Enron</w:t>
      </w:r>
      <w:r>
        <w:rPr>
          <w:rFonts w:eastAsia="Arial Narrow" w:cs="Arial Narrow" w:ascii="Arial Narrow" w:hAnsi="Arial Narrow"/>
          <w:sz w:val="20"/>
          <w:szCs w:val="20"/>
        </w:rPr>
        <w:t>" or "</w:t>
      </w:r>
      <w:r>
        <w:rPr>
          <w:rFonts w:eastAsia="Arial Narrow" w:cs="Arial Narrow" w:ascii="Arial Narrow" w:hAnsi="Arial Narrow"/>
          <w:sz w:val="20"/>
          <w:szCs w:val="20"/>
          <w:u w:val="single"/>
        </w:rPr>
        <w:t>Company</w:t>
      </w:r>
      <w:r>
        <w:rPr>
          <w:rFonts w:eastAsia="Arial Narrow" w:cs="Arial Narrow" w:ascii="Arial Narrow" w:hAnsi="Arial Narrow"/>
          <w:sz w:val="20"/>
          <w:szCs w:val="20"/>
        </w:rPr>
        <w:t>") regarding the purchase and sale of gas on the terms below.  Company shall sell and deliver (</w:t>
      </w:r>
      <w:r>
        <w:rPr>
          <w:rFonts w:eastAsia="Arial Narrow" w:cs="Arial Narrow" w:ascii="Arial Narrow" w:hAnsi="Arial Narrow"/>
          <w:b/>
          <w:bCs/>
          <w:sz w:val="20"/>
          <w:szCs w:val="20"/>
        </w:rPr>
        <w:t>“Seller”</w:t>
      </w:r>
      <w:r>
        <w:rPr>
          <w:rFonts w:eastAsia="Arial Narrow" w:cs="Arial Narrow" w:ascii="Arial Narrow" w:hAnsi="Arial Narrow"/>
          <w:sz w:val="20"/>
          <w:szCs w:val="20"/>
        </w:rPr>
        <w:t>) and Customer shall purchase and receive (</w:t>
      </w:r>
      <w:r>
        <w:rPr>
          <w:rFonts w:eastAsia="Arial Narrow" w:cs="Arial Narrow" w:ascii="Arial Narrow" w:hAnsi="Arial Narrow"/>
          <w:b/>
          <w:bCs/>
          <w:sz w:val="20"/>
          <w:szCs w:val="20"/>
        </w:rPr>
        <w:t>“Buyer</w:t>
      </w:r>
      <w:r>
        <w:rPr>
          <w:rFonts w:eastAsia="Arial Narrow" w:cs="Arial Narrow" w:ascii="Arial Narrow" w:hAnsi="Arial Narrow"/>
          <w:sz w:val="20"/>
          <w:szCs w:val="20"/>
        </w:rPr>
        <w:t>):</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tabs>
          <w:tab w:val="clear" w:pos="720"/>
          <w:tab w:val="left" w:pos="4320" w:leader="none"/>
        </w:tabs>
        <w:jc w:val="both"/>
        <w:rPr/>
      </w:pPr>
      <w:r>
        <w:rPr>
          <w:rFonts w:eastAsia="Arial Narrow" w:cs="Arial Narrow" w:ascii="Arial Narrow" w:hAnsi="Arial Narrow"/>
          <w:b/>
          <w:bCs/>
          <w:sz w:val="20"/>
          <w:szCs w:val="20"/>
        </w:rPr>
        <w:t>TRANSACTION NUMBER:</w:t>
      </w:r>
      <w:r>
        <w:rPr>
          <w:rFonts w:eastAsia="Arial Narrow" w:cs="Arial Narrow" w:ascii="Arial Narrow" w:hAnsi="Arial Narrow"/>
          <w:sz w:val="20"/>
          <w:szCs w:val="20"/>
        </w:rPr>
        <w:t xml:space="preserve"> </w:t>
        <w:tab/>
        <w:t>____________________</w:t>
      </w:r>
    </w:p>
    <w:p>
      <w:pPr>
        <w:pStyle w:val="Normal"/>
        <w:tabs>
          <w:tab w:val="clear" w:pos="720"/>
          <w:tab w:val="left" w:pos="8640" w:leader="none"/>
        </w:tabs>
        <w:ind w:hanging="4320" w:start="4320" w:end="0"/>
        <w:jc w:val="both"/>
        <w:rPr/>
      </w:pPr>
      <w:r>
        <w:rPr>
          <w:rFonts w:eastAsia="Arial Narrow" w:cs="Arial Narrow" w:ascii="Arial Narrow" w:hAnsi="Arial Narrow"/>
          <w:b/>
          <w:bCs/>
          <w:sz w:val="20"/>
          <w:szCs w:val="20"/>
        </w:rPr>
        <w:t>TIER OF GAS:</w:t>
      </w:r>
      <w:r>
        <w:rPr>
          <w:rFonts w:eastAsia="Arial Narrow" w:cs="Arial Narrow" w:ascii="Arial Narrow" w:hAnsi="Arial Narrow"/>
          <w:sz w:val="20"/>
          <w:szCs w:val="20"/>
        </w:rPr>
        <w:t xml:space="preserve">  </w:t>
        <w:tab/>
        <w:t>Tier 3 Firm Gas</w:t>
      </w:r>
    </w:p>
    <w:p>
      <w:pPr>
        <w:pStyle w:val="Normal"/>
        <w:tabs>
          <w:tab w:val="clear" w:pos="720"/>
          <w:tab w:val="left" w:pos="8640" w:leader="none"/>
        </w:tabs>
        <w:ind w:hanging="4320" w:start="4320" w:end="0"/>
        <w:jc w:val="both"/>
        <w:rPr/>
      </w:pPr>
      <w:r>
        <w:rPr>
          <w:rFonts w:eastAsia="Arial Narrow" w:cs="Arial Narrow" w:ascii="Arial Narrow" w:hAnsi="Arial Narrow"/>
          <w:b/>
          <w:bCs/>
          <w:sz w:val="20"/>
          <w:szCs w:val="20"/>
        </w:rPr>
        <w:t xml:space="preserve">DCQ (IN MMBTUS): </w:t>
      </w:r>
      <w:r>
        <w:rPr>
          <w:rFonts w:eastAsia="Arial Narrow" w:cs="Arial Narrow" w:ascii="Arial Narrow" w:hAnsi="Arial Narrow"/>
          <w:sz w:val="20"/>
          <w:szCs w:val="20"/>
        </w:rPr>
        <w:t xml:space="preserve"> </w:t>
        <w:tab/>
        <w:t>1,500 MMBtu per day.</w:t>
      </w:r>
    </w:p>
    <w:p>
      <w:pPr>
        <w:pStyle w:val="Normal"/>
        <w:tabs>
          <w:tab w:val="clear" w:pos="720"/>
          <w:tab w:val="left" w:pos="4320" w:leader="none"/>
          <w:tab w:val="left" w:pos="8640" w:leader="none"/>
        </w:tabs>
        <w:jc w:val="both"/>
        <w:rPr/>
      </w:pPr>
      <w:r>
        <w:rPr>
          <w:rFonts w:eastAsia="Arial Narrow" w:cs="Arial Narrow" w:ascii="Arial Narrow" w:hAnsi="Arial Narrow"/>
          <w:b/>
          <w:bCs/>
          <w:sz w:val="20"/>
          <w:szCs w:val="20"/>
        </w:rPr>
        <w:t>DELIVERY POINT:</w:t>
      </w:r>
      <w:r>
        <w:rPr>
          <w:rFonts w:eastAsia="Arial Narrow" w:cs="Arial Narrow" w:ascii="Arial Narrow" w:hAnsi="Arial Narrow"/>
          <w:sz w:val="20"/>
          <w:szCs w:val="20"/>
        </w:rPr>
        <w:t xml:space="preserve">  </w:t>
        <w:tab/>
        <w:t>Midwestern Gas Transmission / Indiana Gas Interconnect in Terre Haute</w:t>
      </w:r>
    </w:p>
    <w:p>
      <w:pPr>
        <w:pStyle w:val="Normal"/>
        <w:tabs>
          <w:tab w:val="clear" w:pos="720"/>
          <w:tab w:val="left" w:pos="4320" w:leader="none"/>
          <w:tab w:val="left" w:pos="8640" w:leader="none"/>
        </w:tabs>
        <w:ind w:hanging="4320" w:start="4320" w:end="0"/>
        <w:jc w:val="both"/>
        <w:rPr/>
      </w:pPr>
      <w:r>
        <w:rPr>
          <w:rFonts w:eastAsia="Arial Narrow" w:cs="Arial Narrow" w:ascii="Arial Narrow" w:hAnsi="Arial Narrow"/>
          <w:b/>
          <w:bCs/>
          <w:sz w:val="20"/>
          <w:szCs w:val="20"/>
        </w:rPr>
        <w:t xml:space="preserve">PERIOD OF DELIVERY: </w:t>
      </w:r>
      <w:r>
        <w:rPr>
          <w:rFonts w:eastAsia="Arial Narrow" w:cs="Arial Narrow" w:ascii="Arial Narrow" w:hAnsi="Arial Narrow"/>
          <w:sz w:val="20"/>
          <w:szCs w:val="20"/>
        </w:rPr>
        <w:t xml:space="preserve"> </w:t>
        <w:tab/>
        <w:t>January 24, 2001 through February 28, 2001, and monthly thereafter until cancelled by either party.</w:t>
      </w:r>
    </w:p>
    <w:p>
      <w:pPr>
        <w:pStyle w:val="Normal"/>
        <w:ind w:hanging="4320" w:start="4320" w:end="0"/>
        <w:jc w:val="both"/>
        <w:rPr/>
      </w:pPr>
      <w:r>
        <w:rPr>
          <w:rFonts w:eastAsia="Arial Narrow" w:cs="Arial Narrow" w:ascii="Arial Narrow" w:hAnsi="Arial Narrow"/>
          <w:b/>
          <w:bCs/>
          <w:sz w:val="20"/>
          <w:szCs w:val="20"/>
        </w:rPr>
        <w:t>CONTRACT PRICE (PER MMBTU):</w:t>
      </w:r>
      <w:r>
        <w:rPr>
          <w:rFonts w:eastAsia="Arial Narrow" w:cs="Arial Narrow" w:ascii="Arial Narrow" w:hAnsi="Arial Narrow"/>
          <w:sz w:val="20"/>
          <w:szCs w:val="20"/>
        </w:rPr>
        <w:t xml:space="preserve">  </w:t>
        <w:tab/>
        <w:t>The Contract Price per MMBtu for each month during the Period of Delivery shall be equal to the average of the settlement prices of the NYMEX Henry Hub  gas futures contract for the last three (3) trading days of the applicable Delivery Month plus US Dollars $0.3400 per MMBtu.</w:t>
      </w:r>
    </w:p>
    <w:p>
      <w:pPr>
        <w:pStyle w:val="Normal"/>
        <w:ind w:hanging="4320" w:start="4320" w:end="0"/>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ind w:hanging="4320" w:start="4320" w:end="0"/>
        <w:jc w:val="both"/>
        <w:rPr/>
      </w:pPr>
      <w:r>
        <w:rPr>
          <w:rFonts w:eastAsia="Arial Narrow" w:cs="Arial Narrow" w:ascii="Arial Narrow" w:hAnsi="Arial Narrow"/>
          <w:b/>
          <w:bCs/>
          <w:sz w:val="20"/>
          <w:szCs w:val="20"/>
        </w:rPr>
        <w:t>SPOT PRICE (MIDPOINT @ LOCATION):</w:t>
        <w:tab/>
      </w:r>
      <w:r>
        <w:rPr>
          <w:rFonts w:eastAsia="Arial Narrow" w:cs="Arial Narrow" w:ascii="Arial Narrow" w:hAnsi="Arial Narrow"/>
          <w:sz w:val="20"/>
          <w:szCs w:val="20"/>
        </w:rPr>
        <w:t>Citygate - Chicago LDC’s large end-users.</w:t>
      </w:r>
    </w:p>
    <w:p>
      <w:pPr>
        <w:pStyle w:val="Normal"/>
        <w:ind w:hanging="4320" w:start="4320" w:end="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ind w:hanging="4320" w:start="4320" w:end="0"/>
        <w:jc w:val="both"/>
        <w:rPr/>
      </w:pPr>
      <w:r>
        <w:rPr>
          <w:rFonts w:eastAsia="Arial Narrow" w:cs="Arial Narrow" w:ascii="Arial Narrow" w:hAnsi="Arial Narrow"/>
          <w:b/>
          <w:bCs/>
          <w:sz w:val="20"/>
          <w:szCs w:val="20"/>
        </w:rPr>
        <w:t>OTHER:</w:t>
        <w:tab/>
      </w:r>
      <w:r>
        <w:rPr>
          <w:rFonts w:eastAsia="Arial Narrow" w:cs="Arial Narrow" w:ascii="Arial Narrow" w:hAnsi="Arial Narrow"/>
          <w:sz w:val="20"/>
          <w:szCs w:val="20"/>
        </w:rPr>
        <w:t>1.  This Spot Confirmation is issued in substitution of the Spot Confirmation dated January 31, 2001 previously issued to Customer.</w:t>
      </w:r>
    </w:p>
    <w:p>
      <w:pPr>
        <w:pStyle w:val="Normal"/>
        <w:ind w:hanging="4320" w:start="4320" w:end="0"/>
        <w:jc w:val="both"/>
        <w:rPr/>
      </w:pPr>
      <w:r>
        <w:rPr>
          <w:rFonts w:eastAsia="Arial Narrow" w:cs="Arial Narrow" w:ascii="Arial Narrow" w:hAnsi="Arial Narrow"/>
          <w:b/>
          <w:bCs/>
          <w:sz w:val="20"/>
          <w:szCs w:val="20"/>
        </w:rPr>
        <w:tab/>
      </w:r>
      <w:r>
        <w:rPr>
          <w:rFonts w:eastAsia="Arial Narrow" w:cs="Arial Narrow" w:ascii="Arial Narrow" w:hAnsi="Arial Narrow"/>
          <w:sz w:val="20"/>
          <w:szCs w:val="20"/>
        </w:rPr>
        <w:t>2.  Customer shall prepay for each month prior to the beginning of each month during the Period of Delivery.</w:t>
      </w:r>
    </w:p>
    <w:p>
      <w:pPr>
        <w:pStyle w:val="Normal"/>
        <w:ind w:start="4320" w:end="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t>This Spot Confirmation is being provided pursuant to and in accordance with the Enfolio® “Spot” General Terms &amp; Conditions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within 10 days of receipt of same.</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BodyText2"/>
        <w:rPr/>
      </w:pPr>
      <w:r>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Spot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eastAsia="Arial Narrow" w:cs="Arial Narrow"/>
          <w:sz w:val="16"/>
          <w:szCs w:val="16"/>
        </w:rPr>
      </w:pPr>
      <w:r>
        <w:rPr>
          <w:rFonts w:eastAsia="Arial Narrow" w:cs="Arial Narrow" w:ascii="Arial Narrow" w:hAnsi="Arial Narrow"/>
          <w:sz w:val="16"/>
          <w:szCs w:val="16"/>
        </w:rPr>
      </w:r>
      <w:r>
        <w:br w:type="page"/>
      </w:r>
    </w:p>
    <w:p>
      <w:pPr>
        <w:pStyle w:val="Normal"/>
        <w:jc w:val="center"/>
        <w:rPr/>
      </w:pPr>
      <w:r>
        <w:rPr>
          <w:rFonts w:eastAsia="Arial Narrow" w:cs="Arial Narrow" w:ascii="Arial Narrow" w:hAnsi="Arial Narrow"/>
          <w:b/>
          <w:bCs/>
          <w:sz w:val="18"/>
          <w:szCs w:val="18"/>
        </w:rPr>
        <w:t>ENFOLIO</w:t>
      </w:r>
      <w:r>
        <w:rPr>
          <w:rFonts w:eastAsia="Arial Narrow" w:cs="Arial Narrow" w:ascii="Arial Narrow" w:hAnsi="Arial Narrow"/>
          <w:b/>
          <w:bCs/>
          <w:position w:val="6"/>
          <w:sz w:val="18"/>
          <w:szCs w:val="18"/>
        </w:rPr>
        <w:t>®</w:t>
      </w:r>
      <w:r>
        <w:rPr>
          <w:rFonts w:eastAsia="Arial Narrow" w:cs="Arial Narrow" w:ascii="Arial Narrow" w:hAnsi="Arial Narrow"/>
          <w:b/>
          <w:bCs/>
          <w:sz w:val="18"/>
          <w:szCs w:val="18"/>
        </w:rPr>
        <w:t xml:space="preserve"> "SPOT" GENERAL TERMS &amp; CONDITIONS  </w:t>
      </w:r>
    </w:p>
    <w:p>
      <w:pPr>
        <w:pStyle w:val="Normal"/>
        <w:jc w:val="both"/>
        <w:rPr/>
      </w:pPr>
      <w:r>
        <w:rPr>
          <w:rFonts w:eastAsia="Arial Narrow" w:cs="Arial Narrow" w:ascii="Arial Narrow" w:hAnsi="Arial Narrow"/>
          <w:b/>
          <w:bCs/>
          <w:sz w:val="18"/>
          <w:szCs w:val="18"/>
          <w:u w:val="single"/>
        </w:rPr>
        <w:t>1. Transactions</w:t>
      </w:r>
      <w:r>
        <w:rPr>
          <w:rFonts w:eastAsia="Arial Narrow" w:cs="Arial Narrow" w:ascii="Arial Narrow" w:hAnsi="Arial Narrow"/>
          <w:sz w:val="18"/>
          <w:szCs w:val="18"/>
        </w:rPr>
        <w:t>. The parties shall engage in transactions in accordance with these Enfolio terms and conditions (this "</w:t>
      </w:r>
      <w:r>
        <w:rPr>
          <w:rFonts w:eastAsia="Arial Narrow" w:cs="Arial Narrow" w:ascii="Arial Narrow" w:hAnsi="Arial Narrow"/>
          <w:sz w:val="18"/>
          <w:szCs w:val="18"/>
          <w:u w:val="single"/>
        </w:rPr>
        <w:t>Spot GTC</w:t>
      </w:r>
      <w:r>
        <w:rPr>
          <w:rFonts w:eastAsia="Arial Narrow" w:cs="Arial Narrow" w:ascii="Arial Narrow" w:hAnsi="Arial Narrow"/>
          <w:sz w:val="18"/>
          <w:szCs w:val="18"/>
        </w:rPr>
        <w:t>") and Enfolio confirmations of transactions ("</w:t>
      </w:r>
      <w:r>
        <w:rPr>
          <w:rFonts w:eastAsia="Arial Narrow" w:cs="Arial Narrow" w:ascii="Arial Narrow" w:hAnsi="Arial Narrow"/>
          <w:sz w:val="18"/>
          <w:szCs w:val="18"/>
          <w:u w:val="single"/>
        </w:rPr>
        <w:t>Spot Confirmations</w:t>
      </w:r>
      <w:r>
        <w:rPr>
          <w:rFonts w:eastAsia="Arial Narrow" w:cs="Arial Narrow" w:ascii="Arial Narrow" w:hAnsi="Arial Narrow"/>
          <w:sz w:val="18"/>
          <w:szCs w:val="18"/>
        </w:rPr>
        <w:t>") referencing this Spot GTC, which may be issued at the discretion of Company therein identified.  Transactions may be formed in a recorded telephone conversation between the parties whereby an offer and acceptance shall constitute a valid and enforceable agreement of the parties subject to this Spot GTC and all transactions between the parties shall be considered a single master agreement governed by this Spot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Spot GTC under laws relating to (i) whether certain agreements are to be in writing or signed by the party to be thereby bound or (ii) the authority of any employee of the party.  This Spot GTC, each transaction and the rights and duties of the parties arising herefrom shall be governed by the laws of Texas.</w:t>
      </w:r>
      <w:r>
        <w:rPr>
          <w:rFonts w:eastAsia="Arial Narrow" w:cs="Arial Narrow" w:ascii="Arial Narrow" w:hAnsi="Arial Narrow"/>
          <w:caps/>
          <w:sz w:val="18"/>
          <w:szCs w:val="18"/>
        </w:rPr>
        <w:t xml:space="preserve">  </w:t>
      </w:r>
      <w:r>
        <w:rPr>
          <w:rFonts w:eastAsia="Arial Narrow" w:cs="Arial Narrow" w:ascii="Arial Narrow" w:hAnsi="Arial Narrow"/>
          <w:b/>
          <w:bCs/>
          <w:sz w:val="18"/>
          <w:szCs w:val="18"/>
        </w:rPr>
        <w:t>Upon issuance of a Spot Confirmation, if no objection to the Spot Confirmation has been received in accordance with applicable law, the Spot Confirmation shall be conclusive evidence of the transaction made the subject matter thereof and the final expression of all of its terms.</w:t>
      </w:r>
      <w:r>
        <w:rPr>
          <w:rFonts w:eastAsia="Arial Narrow" w:cs="Arial Narrow" w:ascii="Arial Narrow" w:hAnsi="Arial Narrow"/>
          <w:sz w:val="18"/>
          <w:szCs w:val="18"/>
        </w:rPr>
        <w:t xml:space="preserve">  The </w:t>
      </w:r>
      <w:r>
        <w:rPr>
          <w:rFonts w:eastAsia="Arial Narrow" w:cs="Arial Narrow" w:ascii="Arial Narrow" w:hAnsi="Arial Narrow"/>
          <w:b/>
          <w:bCs/>
          <w:sz w:val="18"/>
          <w:szCs w:val="18"/>
        </w:rPr>
        <w:t>DCQ</w:t>
      </w:r>
      <w:r>
        <w:rPr>
          <w:rFonts w:eastAsia="Arial Narrow" w:cs="Arial Narrow" w:ascii="Arial Narrow" w:hAnsi="Arial Narrow"/>
          <w:sz w:val="18"/>
          <w:szCs w:val="18"/>
        </w:rPr>
        <w:t xml:space="preserve"> shall be scheduled by </w:t>
      </w:r>
      <w:r>
        <w:rPr>
          <w:rFonts w:eastAsia="Arial Narrow" w:cs="Arial Narrow" w:ascii="Arial Narrow" w:hAnsi="Arial Narrow"/>
          <w:b/>
          <w:bCs/>
          <w:sz w:val="18"/>
          <w:szCs w:val="18"/>
        </w:rPr>
        <w:t xml:space="preserve">Seller </w:t>
      </w:r>
      <w:r>
        <w:rPr>
          <w:rFonts w:eastAsia="Arial Narrow" w:cs="Arial Narrow" w:ascii="Arial Narrow" w:hAnsi="Arial Narrow"/>
          <w:sz w:val="18"/>
          <w:szCs w:val="18"/>
        </w:rPr>
        <w:t xml:space="preserve">and </w:t>
      </w:r>
      <w:r>
        <w:rPr>
          <w:rFonts w:eastAsia="Arial Narrow" w:cs="Arial Narrow" w:ascii="Arial Narrow" w:hAnsi="Arial Narrow"/>
          <w:b/>
          <w:bCs/>
          <w:sz w:val="18"/>
          <w:szCs w:val="18"/>
        </w:rPr>
        <w:t xml:space="preserve">Buyer </w:t>
      </w:r>
      <w:r>
        <w:rPr>
          <w:rFonts w:eastAsia="Arial Narrow" w:cs="Arial Narrow" w:ascii="Arial Narrow" w:hAnsi="Arial Narrow"/>
          <w:sz w:val="18"/>
          <w:szCs w:val="18"/>
        </w:rPr>
        <w:t xml:space="preserve">at the </w:t>
      </w:r>
      <w:r>
        <w:rPr>
          <w:rFonts w:eastAsia="Arial Narrow" w:cs="Arial Narrow" w:ascii="Arial Narrow" w:hAnsi="Arial Narrow"/>
          <w:b/>
          <w:bCs/>
          <w:sz w:val="18"/>
          <w:szCs w:val="18"/>
        </w:rPr>
        <w:t>Delivery Point(s)</w:t>
      </w:r>
      <w:r>
        <w:rPr>
          <w:rFonts w:eastAsia="Arial Narrow" w:cs="Arial Narrow" w:ascii="Arial Narrow" w:hAnsi="Arial Narrow"/>
          <w:sz w:val="18"/>
          <w:szCs w:val="18"/>
        </w:rPr>
        <w:t xml:space="preserve"> during the </w:t>
      </w:r>
      <w:r>
        <w:rPr>
          <w:rFonts w:eastAsia="Arial Narrow" w:cs="Arial Narrow" w:ascii="Arial Narrow" w:hAnsi="Arial Narrow"/>
          <w:b/>
          <w:bCs/>
          <w:sz w:val="18"/>
          <w:szCs w:val="18"/>
        </w:rPr>
        <w:t>Period of Delivery</w:t>
      </w:r>
      <w:r>
        <w:rPr>
          <w:rFonts w:eastAsia="Arial Narrow" w:cs="Arial Narrow" w:ascii="Arial Narrow" w:hAnsi="Arial Narrow"/>
          <w:sz w:val="18"/>
          <w:szCs w:val="18"/>
        </w:rPr>
        <w:t xml:space="preserve"> and at the </w:t>
      </w:r>
      <w:r>
        <w:rPr>
          <w:rFonts w:eastAsia="Arial Narrow" w:cs="Arial Narrow" w:ascii="Arial Narrow" w:hAnsi="Arial Narrow"/>
          <w:b/>
          <w:bCs/>
          <w:sz w:val="18"/>
          <w:szCs w:val="18"/>
        </w:rPr>
        <w:t xml:space="preserve">Contract Price </w:t>
      </w:r>
      <w:r>
        <w:rPr>
          <w:rFonts w:eastAsia="Arial Narrow" w:cs="Arial Narrow" w:ascii="Arial Narrow" w:hAnsi="Arial Narrow"/>
          <w:sz w:val="18"/>
          <w:szCs w:val="18"/>
        </w:rPr>
        <w:t>as provided in each transaction.  Each transaction shall indicate the "</w:t>
      </w:r>
      <w:r>
        <w:rPr>
          <w:rFonts w:eastAsia="Arial Narrow" w:cs="Arial Narrow" w:ascii="Arial Narrow" w:hAnsi="Arial Narrow"/>
          <w:sz w:val="18"/>
          <w:szCs w:val="18"/>
          <w:u w:val="single"/>
        </w:rPr>
        <w:t>Tier</w:t>
      </w:r>
      <w:r>
        <w:rPr>
          <w:rFonts w:eastAsia="Arial Narrow" w:cs="Arial Narrow" w:ascii="Arial Narrow" w:hAnsi="Arial Narrow"/>
          <w:sz w:val="18"/>
          <w:szCs w:val="18"/>
        </w:rPr>
        <w:t>" of gas applicable to the DCQ during the Period of Delivery:</w:t>
      </w:r>
    </w:p>
    <w:p>
      <w:pPr>
        <w:pStyle w:val="Normal"/>
        <w:ind w:end="-36"/>
        <w:jc w:val="both"/>
        <w:rPr/>
      </w:pPr>
      <w:r>
        <w:rPr>
          <w:rFonts w:eastAsia="Arial Narrow" w:cs="Arial Narrow" w:ascii="Arial Narrow" w:hAnsi="Arial Narrow"/>
          <w:sz w:val="18"/>
          <w:szCs w:val="18"/>
        </w:rPr>
        <w:t>"</w:t>
      </w:r>
      <w:r>
        <w:rPr>
          <w:rFonts w:eastAsia="Arial Narrow" w:cs="Arial Narrow" w:ascii="Arial Narrow" w:hAnsi="Arial Narrow"/>
          <w:b/>
          <w:bCs/>
          <w:sz w:val="18"/>
          <w:szCs w:val="18"/>
          <w:u w:val="single"/>
        </w:rPr>
        <w:t>Interruptible Gas</w:t>
      </w:r>
      <w:r>
        <w:rPr>
          <w:rFonts w:eastAsia="Arial Narrow" w:cs="Arial Narrow" w:ascii="Arial Narrow" w:hAnsi="Arial Narrow"/>
          <w:sz w:val="18"/>
          <w:szCs w:val="18"/>
        </w:rPr>
        <w:t>"--subject hereto, both parties may without liability interrupt, in whole or in part, scheduling the DCQ in accordance with the provisions hereof for any reason; or "</w:t>
      </w:r>
      <w:r>
        <w:rPr>
          <w:rFonts w:eastAsia="Arial Narrow" w:cs="Arial Narrow" w:ascii="Arial Narrow" w:hAnsi="Arial Narrow"/>
          <w:b/>
          <w:bCs/>
          <w:sz w:val="18"/>
          <w:szCs w:val="18"/>
          <w:u w:val="single"/>
        </w:rPr>
        <w:t>Firm Gas</w:t>
      </w:r>
      <w:r>
        <w:rPr>
          <w:rFonts w:eastAsia="Arial Narrow" w:cs="Arial Narrow" w:ascii="Arial Narrow" w:hAnsi="Arial Narrow"/>
          <w:sz w:val="18"/>
          <w:szCs w:val="18"/>
        </w:rPr>
        <w:t xml:space="preserve">"--subject hereto, both parties are firmly obligated to schedule the DCQ for a period less than or equal to one month. </w:t>
      </w:r>
    </w:p>
    <w:p>
      <w:pPr>
        <w:pStyle w:val="Normal"/>
        <w:jc w:val="both"/>
        <w:rPr/>
      </w:pPr>
      <w:r>
        <w:rPr>
          <w:rFonts w:eastAsia="Arial Narrow" w:cs="Arial Narrow" w:ascii="Arial Narrow" w:hAnsi="Arial Narrow"/>
          <w:b/>
          <w:bCs/>
          <w:sz w:val="18"/>
          <w:szCs w:val="18"/>
          <w:u w:val="single"/>
        </w:rPr>
        <w:t>2. Quantity Obligations</w:t>
      </w:r>
      <w:r>
        <w:rPr>
          <w:rFonts w:eastAsia="Arial Narrow" w:cs="Arial Narrow" w:ascii="Arial Narrow" w:hAnsi="Arial Narrow"/>
          <w:sz w:val="18"/>
          <w:szCs w:val="18"/>
        </w:rPr>
        <w:t>.</w:t>
      </w:r>
      <w:r>
        <w:rPr>
          <w:rFonts w:eastAsia="Arial Narrow" w:cs="Arial Narrow" w:ascii="Arial Narrow" w:hAnsi="Arial Narrow"/>
          <w:b/>
          <w:bCs/>
          <w:sz w:val="18"/>
          <w:szCs w:val="18"/>
        </w:rPr>
        <w:t xml:space="preserve">  </w:t>
      </w:r>
      <w:r>
        <w:rPr>
          <w:rFonts w:eastAsia="Arial Narrow" w:cs="Arial Narrow" w:ascii="Arial Narrow" w:hAnsi="Arial Narrow"/>
          <w:b/>
          <w:bCs/>
          <w:sz w:val="18"/>
          <w:szCs w:val="18"/>
          <w:u w:val="single"/>
        </w:rPr>
        <w:t>2.1. Tier 1 Interruptible Gas</w:t>
      </w:r>
      <w:r>
        <w:rPr>
          <w:rFonts w:eastAsia="Arial Narrow" w:cs="Arial Narrow" w:ascii="Arial Narrow" w:hAnsi="Arial Narrow"/>
          <w:sz w:val="18"/>
          <w:szCs w:val="18"/>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w:t>
      </w:r>
    </w:p>
    <w:p>
      <w:pPr>
        <w:pStyle w:val="Normal"/>
        <w:jc w:val="both"/>
        <w:rPr/>
      </w:pPr>
      <w:r>
        <w:rPr>
          <w:rFonts w:eastAsia="Arial Narrow" w:cs="Arial Narrow" w:ascii="Arial Narrow" w:hAnsi="Arial Narrow"/>
          <w:b/>
          <w:bCs/>
          <w:sz w:val="18"/>
          <w:szCs w:val="18"/>
          <w:u w:val="single"/>
        </w:rPr>
        <w:t>2.2. Interruption Without Notice</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Should an interruption occur without the required notice, the interrupting party shall be liable for and pay all associated penalties and cashout costs and losses charged by either transporter.  </w:t>
      </w:r>
    </w:p>
    <w:p>
      <w:pPr>
        <w:pStyle w:val="Normal"/>
        <w:jc w:val="both"/>
        <w:rPr>
          <w:rFonts w:ascii="Arial Narrow" w:hAnsi="Arial Narrow" w:eastAsia="Arial Narrow" w:cs="Arial Narrow"/>
          <w:sz w:val="18"/>
          <w:szCs w:val="18"/>
        </w:rPr>
      </w:pPr>
      <w:r>
        <w:rPr>
          <w:rFonts w:eastAsia="Arial Narrow" w:cs="Arial Narrow" w:ascii="Arial Narrow" w:hAnsi="Arial Narrow"/>
          <w:b/>
          <w:bCs/>
          <w:sz w:val="18"/>
          <w:szCs w:val="18"/>
          <w:u w:val="single"/>
        </w:rPr>
        <w:t>2.3. Tier 3 Firm Gas</w:t>
      </w:r>
      <w:r>
        <w:rPr>
          <w:rFonts w:eastAsia="Arial Narrow" w:cs="Arial Narrow" w:ascii="Arial Narrow" w:hAnsi="Arial Narrow"/>
          <w:sz w:val="18"/>
          <w:szCs w:val="18"/>
        </w:rPr>
        <w:t xml:space="preserve"> Each of Seller and Buyer shall schedule at the Delivery Point(s) each day on a firm basis a quantity of gas equal to the DCQ.  If on any day Seller fails to schedule the DCQ, then such occurrence shall constitute a "</w:t>
      </w:r>
      <w:r>
        <w:rPr>
          <w:rFonts w:eastAsia="Arial Narrow" w:cs="Arial Narrow" w:ascii="Arial Narrow" w:hAnsi="Arial Narrow"/>
          <w:sz w:val="18"/>
          <w:szCs w:val="18"/>
          <w:u w:val="single"/>
        </w:rPr>
        <w:t>Seller's Deficiency Default</w:t>
      </w:r>
      <w:r>
        <w:rPr>
          <w:rFonts w:eastAsia="Arial Narrow" w:cs="Arial Narrow" w:ascii="Arial Narrow" w:hAnsi="Arial Narrow"/>
          <w:sz w:val="18"/>
          <w:szCs w:val="18"/>
        </w:rPr>
        <w:t>" and "</w:t>
      </w:r>
      <w:r>
        <w:rPr>
          <w:rFonts w:eastAsia="Arial Narrow" w:cs="Arial Narrow" w:ascii="Arial Narrow" w:hAnsi="Arial Narrow"/>
          <w:sz w:val="18"/>
          <w:szCs w:val="18"/>
          <w:u w:val="single"/>
        </w:rPr>
        <w:t>Seller's Deficiency Quantity</w:t>
      </w:r>
      <w:r>
        <w:rPr>
          <w:rFonts w:eastAsia="Arial Narrow" w:cs="Arial Narrow" w:ascii="Arial Narrow" w:hAnsi="Arial Narrow"/>
          <w:sz w:val="18"/>
          <w:szCs w:val="18"/>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rFonts w:eastAsia="Arial Narrow" w:cs="Arial Narrow" w:ascii="Arial Narrow" w:hAnsi="Arial Narrow"/>
          <w:sz w:val="18"/>
          <w:szCs w:val="18"/>
          <w:u w:val="single"/>
        </w:rPr>
        <w:t>Buyer's Deficiency Default</w:t>
      </w:r>
      <w:r>
        <w:rPr>
          <w:rFonts w:eastAsia="Arial Narrow" w:cs="Arial Narrow" w:ascii="Arial Narrow" w:hAnsi="Arial Narrow"/>
          <w:sz w:val="18"/>
          <w:szCs w:val="18"/>
        </w:rPr>
        <w:t>" and "</w:t>
      </w:r>
      <w:r>
        <w:rPr>
          <w:rFonts w:eastAsia="Arial Narrow" w:cs="Arial Narrow" w:ascii="Arial Narrow" w:hAnsi="Arial Narrow"/>
          <w:sz w:val="18"/>
          <w:szCs w:val="18"/>
          <w:u w:val="single"/>
        </w:rPr>
        <w:t>Buyer's Deficiency Quantity</w:t>
      </w:r>
      <w:r>
        <w:rPr>
          <w:rFonts w:eastAsia="Arial Narrow" w:cs="Arial Narrow" w:ascii="Arial Narrow" w:hAnsi="Arial Narrow"/>
          <w:sz w:val="18"/>
          <w:szCs w:val="18"/>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eastAsia="Arial Narrow" w:cs="Arial Narrow" w:ascii="Arial Narrow" w:hAnsi="Arial Narrow"/>
          <w:sz w:val="18"/>
          <w:szCs w:val="18"/>
          <w:u w:val="single"/>
        </w:rPr>
        <w:t>Replacement Price Differential</w:t>
      </w:r>
      <w:r>
        <w:rPr>
          <w:rFonts w:eastAsia="Arial Narrow" w:cs="Arial Narrow" w:ascii="Arial Narrow" w:hAnsi="Arial Narrow"/>
          <w:sz w:val="18"/>
          <w:szCs w:val="18"/>
        </w:rPr>
        <w:t xml:space="preserve">" means (i) in the event of a Seller's Deficiency Default, the positive difference, if any, obtained by subtracting the Contract Price </w:t>
      </w:r>
      <w:r>
        <w:rPr>
          <w:rFonts w:eastAsia="Arial Narrow" w:cs="Arial Narrow" w:ascii="Arial Narrow" w:hAnsi="Arial Narrow"/>
          <w:sz w:val="18"/>
          <w:szCs w:val="18"/>
          <w:u w:val="single"/>
        </w:rPr>
        <w:t>from</w:t>
      </w:r>
      <w:r>
        <w:rPr>
          <w:rFonts w:eastAsia="Arial Narrow" w:cs="Arial Narrow" w:ascii="Arial Narrow" w:hAnsi="Arial Narrow"/>
          <w:sz w:val="18"/>
          <w:szCs w:val="18"/>
        </w:rPr>
        <w:t xml:space="preserve"> the Spot Price for the day in which the default occurred and (ii) in the event of a Buyer's Deficiency Default, the positive difference, if any, obtained by subtracting the Spot Price for the day in which the default occurred </w:t>
      </w:r>
      <w:r>
        <w:rPr>
          <w:rFonts w:eastAsia="Arial Narrow" w:cs="Arial Narrow" w:ascii="Arial Narrow" w:hAnsi="Arial Narrow"/>
          <w:sz w:val="18"/>
          <w:szCs w:val="18"/>
          <w:u w:val="single"/>
        </w:rPr>
        <w:t>from</w:t>
      </w:r>
      <w:r>
        <w:rPr>
          <w:rFonts w:eastAsia="Arial Narrow" w:cs="Arial Narrow" w:ascii="Arial Narrow" w:hAnsi="Arial Narrow"/>
          <w:sz w:val="18"/>
          <w:szCs w:val="18"/>
        </w:rPr>
        <w:t xml:space="preserve"> the Contract Price. </w:t>
      </w:r>
      <w:r>
        <w:rPr>
          <w:rFonts w:eastAsia="Arial Narrow" w:cs="Arial Narrow" w:ascii="Arial Narrow" w:hAnsi="Arial Narrow"/>
          <w:color w:val="000000"/>
          <w:sz w:val="18"/>
          <w:szCs w:val="18"/>
        </w:rPr>
        <w:t>"</w:t>
      </w:r>
      <w:r>
        <w:rPr>
          <w:rFonts w:eastAsia="Arial Narrow" w:cs="Arial Narrow" w:ascii="Arial Narrow" w:hAnsi="Arial Narrow"/>
          <w:color w:val="000000"/>
          <w:sz w:val="18"/>
          <w:szCs w:val="18"/>
          <w:u w:val="single"/>
        </w:rPr>
        <w:t>Spot Price</w:t>
      </w:r>
      <w:r>
        <w:rPr>
          <w:rFonts w:eastAsia="Arial Narrow" w:cs="Arial Narrow" w:ascii="Arial Narrow" w:hAnsi="Arial Narrow"/>
          <w:color w:val="000000"/>
          <w:sz w:val="18"/>
          <w:szCs w:val="18"/>
        </w:rPr>
        <w:t xml:space="preserve">" means the “Daily Midpoint” price set forth in </w:t>
      </w:r>
      <w:r>
        <w:rPr>
          <w:rFonts w:eastAsia="Arial Narrow" w:cs="Arial Narrow" w:ascii="Arial Narrow" w:hAnsi="Arial Narrow"/>
          <w:color w:val="000000"/>
          <w:sz w:val="18"/>
          <w:szCs w:val="18"/>
          <w:u w:val="single"/>
        </w:rPr>
        <w:t>Gas Daily</w:t>
      </w:r>
      <w:r>
        <w:rPr>
          <w:rFonts w:eastAsia="Arial Narrow" w:cs="Arial Narrow" w:ascii="Arial Narrow" w:hAnsi="Arial Narrow"/>
          <w:color w:val="000000"/>
          <w:sz w:val="18"/>
          <w:szCs w:val="18"/>
        </w:rPr>
        <w:t>® (Financial Energy Times),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eastAsia="Arial Narrow" w:cs="Arial Narrow" w:ascii="Arial Narrow" w:hAnsi="Arial Narrow"/>
          <w:b/>
          <w:bCs/>
          <w:sz w:val="18"/>
          <w:szCs w:val="18"/>
          <w:u w:val="single"/>
        </w:rPr>
        <w:t>3. Payments/Early Termination</w:t>
      </w:r>
      <w:r>
        <w:rPr>
          <w:rFonts w:eastAsia="Arial Narrow" w:cs="Arial Narrow" w:ascii="Arial Narrow" w:hAnsi="Arial Narrow"/>
          <w:sz w:val="18"/>
          <w:szCs w:val="18"/>
        </w:rPr>
        <w:t>. By the 10th day of each month following the month in which gas was scheduled, Seller shall provide Buyer a written statement covering the preceding month.  Billing and payment will be based on scheduled quantities; provided, if gas is transported by an intrastate transporter same will be based on actual receipts and deliveries.  Within 10 days of the request of either party, the other party shall provide, to the extent it has a legal right of access thereto or such statement is then available, a copy of the transporter's allocation statement applicable to gas sold hereunder for the requested period.  All amounts payable under this Spot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hereby governed may be offset or recouped against each other, or netted for payment.  If a party shall make an assignment or arrange</w:t>
        <w:softHyphen/>
        <w:t>ment for the benefit of creditors, file a petition or commence, authorize or acquiesce in the commencement of a proceed</w:t>
        <w:softHyphen/>
        <w:t>ing under any bankruptcy or similar law, or have such petition filed against it and such proceeding remains undismissed for 30 days, otherwise become bankrupt or insolvent, or be unable to pay its debts as due, then all transactions hereunder shall automatically terminate, the other party shall calculate its damages in respect of each transaction as if no further scheduling of gas will occur and net same against each other; the resulting net amount, if positive, being immediately due and payable to such other party.</w:t>
      </w:r>
    </w:p>
    <w:p>
      <w:pPr>
        <w:pStyle w:val="Normal"/>
        <w:jc w:val="both"/>
        <w:rPr/>
      </w:pPr>
      <w:r>
        <w:rPr>
          <w:rFonts w:eastAsia="Arial Narrow" w:cs="Arial Narrow" w:ascii="Arial Narrow" w:hAnsi="Arial Narrow"/>
          <w:b/>
          <w:bCs/>
          <w:sz w:val="18"/>
          <w:szCs w:val="18"/>
          <w:u w:val="single"/>
        </w:rPr>
        <w:t>4. Force Majeure</w:t>
      </w:r>
      <w:r>
        <w:rPr>
          <w:rFonts w:eastAsia="Arial Narrow" w:cs="Arial Narrow" w:ascii="Arial Narrow" w:hAnsi="Arial Narrow"/>
          <w:sz w:val="18"/>
          <w:szCs w:val="18"/>
        </w:rPr>
        <w:t>.</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In the event either party is rendered unable, wholly or in part, by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carry out its obligations, other than payment, it is agreed that upon such party's giving notice of such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the other party, the obligations of the party giving such notice, to the extent affected by such event, shall be suspended from the inception and during the continuance of the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w:t>
      </w:r>
      <w:r>
        <w:rPr>
          <w:rFonts w:eastAsia="Arial Narrow" w:cs="Arial Narrow" w:ascii="Arial Narrow" w:hAnsi="Arial Narrow"/>
          <w:b/>
          <w:bCs/>
          <w:i/>
          <w:iCs/>
          <w:sz w:val="18"/>
          <w:szCs w:val="18"/>
          <w:u w:val="single"/>
        </w:rPr>
        <w:t>Force Majeure</w:t>
      </w:r>
      <w:r>
        <w:rPr>
          <w:rFonts w:eastAsia="Arial Narrow" w:cs="Arial Narrow" w:ascii="Arial Narrow" w:hAnsi="Arial Narrow"/>
          <w:sz w:val="18"/>
          <w:szCs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shall include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occurring with respect to the services of transporters.</w:t>
      </w:r>
    </w:p>
    <w:p>
      <w:pPr>
        <w:pStyle w:val="Normal"/>
        <w:jc w:val="both"/>
        <w:rPr/>
      </w:pPr>
      <w:r>
        <w:rPr>
          <w:rFonts w:eastAsia="Arial Narrow" w:cs="Arial Narrow" w:ascii="Arial Narrow" w:hAnsi="Arial Narrow"/>
          <w:b/>
          <w:bCs/>
          <w:sz w:val="18"/>
          <w:szCs w:val="18"/>
          <w:u w:val="single"/>
        </w:rPr>
        <w:t>5. Taxes</w:t>
      </w:r>
      <w:r>
        <w:rPr>
          <w:rFonts w:eastAsia="Arial Narrow" w:cs="Arial Narrow" w:ascii="Arial Narrow" w:hAnsi="Arial Narrow"/>
          <w:sz w:val="18"/>
          <w:szCs w:val="18"/>
        </w:rPr>
        <w:t>. The Contract Price includes reimburse</w:t>
        <w:softHyphen/>
        <w:t xml:space="preserve">ment for, and Seller shall pay, or reimburse Buyer for, all taxes applicable to the gas sold upstream of the Delivery Point(s).  Seller shall indemnify, defend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eastAsia="Arial Narrow" w:cs="Arial Narrow" w:ascii="Arial Narrow" w:hAnsi="Arial Narrow"/>
          <w:b/>
          <w:bCs/>
          <w:sz w:val="18"/>
          <w:szCs w:val="18"/>
          <w:u w:val="single"/>
        </w:rPr>
        <w:t>6. Title/Risk of Loss/Imbalances</w:t>
      </w:r>
      <w:r>
        <w:rPr>
          <w:rFonts w:eastAsia="Arial Narrow" w:cs="Arial Narrow" w:ascii="Arial Narrow" w:hAnsi="Arial Narrow"/>
          <w:sz w:val="18"/>
          <w:szCs w:val="18"/>
        </w:rPr>
        <w:t xml:space="preserve">.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death of persons, arising from any act or incident occurring when title to gas is vested in the indemnifying party.  </w:t>
      </w:r>
      <w:r>
        <w:rPr>
          <w:rFonts w:eastAsia="Arial Narrow" w:cs="Arial Narrow" w:ascii="Arial Narrow" w:hAnsi="Arial Narrow"/>
          <w:caps/>
          <w:sz w:val="18"/>
          <w:szCs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Differences between scheduled and actual quantities will be settled in cash or gas or by offset as agreed.  </w:t>
      </w:r>
    </w:p>
    <w:p>
      <w:pPr>
        <w:pStyle w:val="Normal"/>
        <w:jc w:val="both"/>
        <w:rPr/>
      </w:pPr>
      <w:r>
        <w:rPr>
          <w:rFonts w:eastAsia="Arial Narrow" w:cs="Arial Narrow" w:ascii="Arial Narrow" w:hAnsi="Arial Narrow"/>
          <w:b/>
          <w:bCs/>
          <w:sz w:val="18"/>
          <w:szCs w:val="18"/>
          <w:u w:val="single"/>
        </w:rPr>
        <w:t>7. Operations</w:t>
      </w:r>
      <w:r>
        <w:rPr>
          <w:rFonts w:eastAsia="Arial Narrow" w:cs="Arial Narrow" w:ascii="Arial Narrow" w:hAnsi="Arial Narrow"/>
          <w:sz w:val="18"/>
          <w:szCs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eastAsia="Arial Narrow" w:cs="Arial Narrow" w:ascii="Arial Narrow" w:hAnsi="Arial Narrow"/>
          <w:sz w:val="18"/>
          <w:szCs w:val="18"/>
          <w:u w:val="single"/>
        </w:rPr>
        <w:t>Section 2</w:t>
      </w:r>
      <w:r>
        <w:rPr>
          <w:rFonts w:eastAsia="Arial Narrow" w:cs="Arial Narrow" w:ascii="Arial Narrow" w:hAnsi="Arial Narrow"/>
          <w:sz w:val="18"/>
          <w:szCs w:val="18"/>
        </w:rPr>
        <w:t xml:space="preserve">, and with respect to Tier 3 Firm Gas, such Party (without affecting its liability under </w:t>
      </w:r>
      <w:r>
        <w:rPr>
          <w:rFonts w:eastAsia="Arial Narrow" w:cs="Arial Narrow" w:ascii="Arial Narrow" w:hAnsi="Arial Narrow"/>
          <w:sz w:val="18"/>
          <w:szCs w:val="18"/>
          <w:u w:val="single"/>
        </w:rPr>
        <w:t>Section 2</w:t>
      </w:r>
      <w:r>
        <w:rPr>
          <w:rFonts w:eastAsia="Arial Narrow" w:cs="Arial Narrow" w:ascii="Arial Narrow" w:hAnsi="Arial Narrow"/>
          <w:sz w:val="18"/>
          <w:szCs w:val="18"/>
        </w:rPr>
        <w:t xml:space="preserve">) shall provide to the other Party facsimile notice thereof not later than one business day prior to the earlier of Buyer's or Seller's transporter's nomination deadline for the applicable day.  Nothing in this Spot GTC, including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shall require or permit either party to schedule gas at a point other than a Delivery Point or in excess of the DCQ.  Seller shall obtain transportation to the Delivery Point, and Buyer shall obtain transporta</w:t>
        <w:softHyphen/>
        <w:t>tion from the Delivery Point.  Seller represents and warrants that all gas delivered hereunder shall meet or exceed the specifications of Buyer's transporter.  At appropriate intervals Company's transporter shall measure gas purchased and sold hereunder.  If either party receives an operational flow order from a transporter requiring action to be taken in connection with a transaction ("</w:t>
      </w:r>
      <w:r>
        <w:rPr>
          <w:rFonts w:eastAsia="Arial Narrow" w:cs="Arial Narrow" w:ascii="Arial Narrow" w:hAnsi="Arial Narrow"/>
          <w:sz w:val="18"/>
          <w:szCs w:val="18"/>
          <w:u w:val="single"/>
        </w:rPr>
        <w:t>OFO</w:t>
      </w:r>
      <w:r>
        <w:rPr>
          <w:rFonts w:eastAsia="Arial Narrow" w:cs="Arial Narrow" w:ascii="Arial Narrow" w:hAnsi="Arial Narrow"/>
          <w:sz w:val="18"/>
          <w:szCs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of which the indemnifying party failed to give the indemnified party the notice required hereunder or under which the indemnifying party failed to take timely action required by the OFO.</w:t>
      </w:r>
    </w:p>
    <w:p>
      <w:pPr>
        <w:pStyle w:val="Normal"/>
        <w:jc w:val="both"/>
        <w:rPr/>
      </w:pPr>
      <w:r>
        <w:rPr>
          <w:rFonts w:eastAsia="Arial Narrow" w:cs="Arial Narrow" w:ascii="Arial Narrow" w:hAnsi="Arial Narrow"/>
          <w:b/>
          <w:bCs/>
          <w:sz w:val="18"/>
          <w:szCs w:val="18"/>
          <w:u w:val="single"/>
        </w:rPr>
        <w:t>8. Arbitration.</w:t>
      </w:r>
      <w:r>
        <w:rPr>
          <w:rFonts w:eastAsia="Arial Narrow" w:cs="Arial Narrow" w:ascii="Arial Narrow" w:hAnsi="Arial Narrow"/>
          <w:sz w:val="18"/>
          <w:szCs w:val="18"/>
        </w:rPr>
        <w:t xml:space="preserve">  Any dispute relating to this Agreement shall be resolved by binding, self-administered arbitration pursuant to the Commercial Arbitration Rules of the </w:t>
      </w:r>
      <w:r>
        <w:rPr>
          <w:rFonts w:eastAsia="Arial Narrow" w:cs="Arial Narrow" w:ascii="Arial Narrow" w:hAnsi="Arial Narrow"/>
          <w:sz w:val="18"/>
          <w:szCs w:val="18"/>
          <w:u w:val="single"/>
        </w:rPr>
        <w:t>American Arbitration Association ("AAA")</w:t>
      </w:r>
      <w:r>
        <w:rPr>
          <w:rFonts w:eastAsia="Arial Narrow" w:cs="Arial Narrow" w:ascii="Arial Narrow" w:hAnsi="Arial Narrow"/>
          <w:sz w:val="18"/>
          <w:szCs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tabs>
          <w:tab w:val="clear" w:pos="720"/>
          <w:tab w:val="left" w:pos="4050" w:leader="none"/>
          <w:tab w:val="left" w:pos="5400" w:leader="none"/>
          <w:tab w:val="left" w:pos="7290" w:leader="none"/>
          <w:tab w:val="left" w:pos="9360" w:leader="none"/>
        </w:tabs>
        <w:jc w:val="both"/>
        <w:rPr/>
      </w:pPr>
      <w:r>
        <w:rPr>
          <w:rFonts w:eastAsia="Arial Narrow" w:cs="Arial Narrow" w:ascii="Arial Narrow" w:hAnsi="Arial Narrow"/>
          <w:b/>
          <w:bCs/>
          <w:caps/>
          <w:sz w:val="18"/>
          <w:szCs w:val="18"/>
          <w:u w:val="single"/>
        </w:rPr>
        <w:t>9. Damages</w:t>
      </w:r>
      <w:r>
        <w:rPr>
          <w:rFonts w:eastAsia="Arial Narrow" w:cs="Arial Narrow" w:ascii="Arial Narrow" w:hAnsi="Arial Narrow"/>
          <w:caps/>
          <w:sz w:val="18"/>
          <w:szCs w:val="18"/>
        </w:rPr>
        <w:t>.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and, subject thereto, accepts such GOODS "AS IS" AND "WITH ALL FAULTS."</w:t>
      </w:r>
    </w:p>
    <w:p>
      <w:pPr>
        <w:pStyle w:val="Normal"/>
        <w:jc w:val="both"/>
        <w:rPr>
          <w:rFonts w:ascii="Arial Narrow" w:hAnsi="Arial Narrow" w:eastAsia="Arial Narrow" w:cs="Arial Narrow"/>
          <w:caps/>
          <w:sz w:val="16"/>
          <w:szCs w:val="16"/>
        </w:rPr>
      </w:pPr>
      <w:r>
        <w:rPr>
          <w:rFonts w:eastAsia="Arial Narrow" w:cs="Arial Narrow" w:ascii="Arial Narrow" w:hAnsi="Arial Narrow"/>
          <w:caps/>
          <w:sz w:val="16"/>
          <w:szCs w:val="16"/>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ms Rmn">
    <w:altName w:val="Times New Roman"/>
    <w:charset w:val="01"/>
    <w:family w:val="roman"/>
    <w:pitch w:val="variable"/>
  </w:font>
  <w:font w:name="Liberation Sans">
    <w:altName w:val="Arial"/>
    <w:charset w:val="01" w:characterSet="utf-8"/>
    <w:family w:val="swiss"/>
    <w:pitch w:val="variable"/>
  </w:font>
  <w:font w:name="Arial Narrow">
    <w:charset w:val="01"/>
    <w:family w:val="swiss"/>
    <w:pitch w:val="variable"/>
  </w:font>
  <w:font w:name="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jc w:val="both"/>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/mnt/main-storage/datasets/enron-docs/doc/2001_015acrfm.doc</w:t>
    </w:r>
    <w:r>
      <w:rPr>
        <w:sz w:val="12"/>
        <w:szCs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/mnt/main-storage/datasets/enron-docs/doc/2001_015acrfm.doc</w:t>
    </w:r>
    <w:r>
      <w:rPr>
        <w:sz w:val="12"/>
        <w:szCs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Narrow" w:hAnsi="Arial Narrow" w:eastAsia="Arial Narrow" w:cs="Arial Narrow"/>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2001-02-07T14:33:00Z</dcterms:created>
  <dc:creator>vv24f</dc:creator>
  <dc:description/>
  <dc:language>en-CA</dc:language>
  <cp:lastModifiedBy>dhyvl</cp:lastModifiedBy>
  <cp:lastPrinted>2001-02-07T11:27:00Z</cp:lastPrinted>
  <dcterms:modified xsi:type="dcterms:W3CDTF">2001-02-07T14:57:00Z</dcterms:modified>
  <cp:revision>4</cp:revision>
  <dc:subject/>
  <dc:title>ENFOLIO* "SPOT"  CONFIRMATION--MASTER "SPOT" PURCHASE/SALE AGREEMENT GOVERNS</dc:title>
</cp:coreProperties>
</file>