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26, 2001</w:t>
      </w:r>
    </w:p>
    <w:p>
      <w:pPr>
        <w:pStyle w:val="Normal"/>
        <w:rPr/>
      </w:pPr>
      <w:r>
        <w:rPr/>
      </w:r>
    </w:p>
    <w:p>
      <w:pPr>
        <w:pStyle w:val="Normal"/>
        <w:rPr/>
      </w:pPr>
      <w:r>
        <w:rPr/>
        <w:t>Mesa, City of</w:t>
      </w:r>
    </w:p>
    <w:p>
      <w:pPr>
        <w:pStyle w:val="Normal"/>
        <w:rPr/>
      </w:pPr>
      <w:r>
        <w:rPr/>
        <w:t>P. O. Box 1466</w:t>
      </w:r>
    </w:p>
    <w:p>
      <w:pPr>
        <w:pStyle w:val="Normal"/>
        <w:rPr/>
      </w:pPr>
      <w:r>
        <w:rPr/>
        <w:t>Mesa, AZ 85211-1466</w:t>
      </w:r>
    </w:p>
    <w:p>
      <w:pPr>
        <w:pStyle w:val="Normal"/>
        <w:rPr/>
      </w:pPr>
      <w:r>
        <w:rPr/>
      </w:r>
    </w:p>
    <w:p>
      <w:pPr>
        <w:pStyle w:val="Normal"/>
        <w:rPr/>
      </w:pPr>
      <w:r>
        <w:rPr/>
      </w:r>
    </w:p>
    <w:p>
      <w:pPr>
        <w:pStyle w:val="Normal"/>
        <w:rPr/>
      </w:pPr>
      <w:r>
        <w:rPr/>
        <w:t>Attn:  Document Department</w:t>
      </w:r>
    </w:p>
    <w:p>
      <w:pPr>
        <w:pStyle w:val="Normal"/>
        <w:rPr/>
      </w:pPr>
      <w:r>
        <w:rPr/>
        <w:t>Fax No.:  (480) 644-2768</w:t>
      </w:r>
    </w:p>
    <w:p>
      <w:pPr>
        <w:pStyle w:val="Normal"/>
        <w:rPr/>
      </w:pPr>
      <w:r>
        <w:rPr/>
        <w:t>Trans. No. NP1265.1 / 317028 – as modified</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agreed to and binding between </w:t>
      </w:r>
      <w:r>
        <w:rPr>
          <w:b/>
          <w:bCs/>
        </w:rPr>
        <w:t>Mesa, City of</w:t>
      </w:r>
      <w:r>
        <w:rPr>
          <w:b/>
        </w:rPr>
        <w:t xml:space="preserve"> </w:t>
      </w:r>
      <w:r>
        <w:rPr/>
        <w:t>(“</w:t>
      </w:r>
      <w:r>
        <w:rPr>
          <w:u w:val="single"/>
        </w:rPr>
        <w:t>Customer</w:t>
      </w:r>
      <w:r>
        <w:rPr/>
        <w:t xml:space="preserve">”) and </w:t>
      </w:r>
      <w:r>
        <w:rPr>
          <w:b/>
        </w:rPr>
        <w:t>Enron North America</w:t>
      </w:r>
      <w:r>
        <w:rPr/>
        <w:t xml:space="preserve"> </w:t>
      </w:r>
      <w:r>
        <w:rPr>
          <w:b/>
        </w:rPr>
        <w:t xml:space="preserve">Corp. </w:t>
      </w:r>
      <w:r>
        <w:rPr/>
        <w:t>(“</w:t>
      </w:r>
      <w:r>
        <w:rPr>
          <w:u w:val="single"/>
        </w:rPr>
        <w:t>Company</w:t>
      </w:r>
      <w:r>
        <w:rPr/>
        <w:t>”) regarding the firm purchase and sale of Gas transaction under the following terms and conditions.  Customer to purchase and receive (“Buyer”) and Company to sell and deliver (“Seller”).  Reference is heremade to that certain Confirmation dated July 13, 2000 between Customer and Company (the “July 13, 2000 Confirmation”).  Customer and Company hereby agreed that the July 13, 2000 Confirmation is amended by revising the price and extending the term as herein provided and that this Confirmation Agreement shall supercede the July 13, 2000 Confirmation in its entirety.</w:t>
      </w:r>
    </w:p>
    <w:p>
      <w:pPr>
        <w:pStyle w:val="Normal"/>
        <w:rPr/>
      </w:pPr>
      <w:r>
        <w:rPr/>
      </w:r>
    </w:p>
    <w:tbl>
      <w:tblPr>
        <w:tblW w:w="9540" w:type="dxa"/>
        <w:jc w:val="start"/>
        <w:tblInd w:w="0" w:type="dxa"/>
        <w:tblLayout w:type="fixed"/>
        <w:tblCellMar>
          <w:top w:w="0" w:type="dxa"/>
          <w:start w:w="108" w:type="dxa"/>
          <w:bottom w:w="0" w:type="dxa"/>
          <w:end w:w="108" w:type="dxa"/>
        </w:tblCellMar>
      </w:tblPr>
      <w:tblGrid>
        <w:gridCol w:w="2988"/>
        <w:gridCol w:w="6552"/>
      </w:tblGrid>
      <w:tr>
        <w:trPr/>
        <w:tc>
          <w:tcPr>
            <w:tcW w:w="2988" w:type="dxa"/>
            <w:tcBorders/>
          </w:tcPr>
          <w:p>
            <w:pPr>
              <w:pStyle w:val="Normal"/>
              <w:rPr>
                <w:b/>
              </w:rPr>
            </w:pPr>
            <w:r>
              <w:rPr>
                <w:b/>
              </w:rPr>
              <w:t>Designated Quantity:</w:t>
            </w:r>
          </w:p>
        </w:tc>
        <w:tc>
          <w:tcPr>
            <w:tcW w:w="6552" w:type="dxa"/>
            <w:tcBorders/>
          </w:tcPr>
          <w:p>
            <w:pPr>
              <w:pStyle w:val="Normal"/>
              <w:ind w:start="-108" w:end="-144"/>
              <w:rPr/>
            </w:pPr>
            <w:r>
              <w:rPr/>
              <w:t>See Attachment</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DELIVERY POINT(S):</w:t>
            </w:r>
          </w:p>
        </w:tc>
        <w:tc>
          <w:tcPr>
            <w:tcW w:w="6552" w:type="dxa"/>
            <w:tcBorders/>
          </w:tcPr>
          <w:p>
            <w:pPr>
              <w:pStyle w:val="Normal"/>
              <w:ind w:start="-108" w:end="144"/>
              <w:jc w:val="both"/>
              <w:rPr/>
            </w:pPr>
            <w:r>
              <w:rPr/>
              <w:t>El Paso Natural Gas Co. – San Juan Basin, Bondad.</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CONTRACT PRICE:</w:t>
            </w:r>
          </w:p>
        </w:tc>
        <w:tc>
          <w:tcPr>
            <w:tcW w:w="6552" w:type="dxa"/>
            <w:tcBorders/>
          </w:tcPr>
          <w:p>
            <w:pPr>
              <w:pStyle w:val="Normal"/>
              <w:ind w:start="-108" w:end="144"/>
              <w:jc w:val="both"/>
              <w:rPr/>
            </w:pPr>
            <w:r>
              <w:rPr/>
              <w:t>The “Index Price” published in Inside F.E.R.C.’s Gas Market Report for El Paso Natural Gas Co., San Juan Basin, as listed in the table entitled “Prices of Spot Gas Delivered to Pipelines” in the first-of-the-month issue of such publication for each Month during the period July 01, 2000 through January 31, 2002 plus US Dollars $0.0300 per MMBtu.</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rPr>
                <w:b/>
              </w:rPr>
            </w:pPr>
            <w:r>
              <w:rPr>
                <w:b/>
              </w:rPr>
              <w:t>PERIOD OF DELIVERY:</w:t>
            </w:r>
          </w:p>
        </w:tc>
        <w:tc>
          <w:tcPr>
            <w:tcW w:w="6552" w:type="dxa"/>
            <w:tcBorders/>
          </w:tcPr>
          <w:p>
            <w:pPr>
              <w:pStyle w:val="Normal"/>
              <w:ind w:start="-108" w:end="0"/>
              <w:rPr/>
            </w:pPr>
            <w:r>
              <w:rPr/>
              <w:t>July 01, 2000 through January 31, 2002.</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jc w:val="both"/>
              <w:rPr>
                <w:b/>
              </w:rPr>
            </w:pPr>
            <w:r>
              <w:rPr>
                <w:b/>
              </w:rPr>
              <w:t>SPOT PRICE LOCATION:</w:t>
            </w:r>
          </w:p>
        </w:tc>
        <w:tc>
          <w:tcPr>
            <w:tcW w:w="6552" w:type="dxa"/>
            <w:tcBorders/>
          </w:tcPr>
          <w:p>
            <w:pPr>
              <w:pStyle w:val="Normal"/>
              <w:ind w:start="-108" w:end="0"/>
              <w:jc w:val="both"/>
              <w:rPr/>
            </w:pPr>
            <w:r>
              <w:rPr/>
              <w:t>El Paso San Juan Basin</w:t>
            </w:r>
          </w:p>
        </w:tc>
      </w:tr>
      <w:tr>
        <w:trPr/>
        <w:tc>
          <w:tcPr>
            <w:tcW w:w="298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2988" w:type="dxa"/>
            <w:tcBorders/>
          </w:tcPr>
          <w:p>
            <w:pPr>
              <w:pStyle w:val="Normal"/>
              <w:snapToGrid w:val="false"/>
              <w:rPr>
                <w:b/>
              </w:rPr>
            </w:pPr>
            <w:r>
              <w:rPr>
                <w:b/>
              </w:rPr>
            </w:r>
          </w:p>
        </w:tc>
        <w:tc>
          <w:tcPr>
            <w:tcW w:w="6552" w:type="dxa"/>
            <w:tcBorders/>
          </w:tcPr>
          <w:p>
            <w:pPr>
              <w:pStyle w:val="Normal"/>
              <w:ind w:start="-108" w:end="0"/>
              <w:jc w:val="both"/>
              <w:rPr>
                <w:b/>
              </w:rPr>
            </w:pPr>
            <w:r>
              <w:rPr>
                <w:b/>
              </w:rPr>
              <w:t>Notice and Communication to Company:</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Confirmation / Documentation</w:t>
            </w:r>
          </w:p>
          <w:p>
            <w:pPr>
              <w:pStyle w:val="Normal"/>
              <w:ind w:start="-108" w:end="0"/>
              <w:jc w:val="both"/>
              <w:rPr/>
            </w:pPr>
            <w:r>
              <w:rPr/>
              <w:t>Facsimile No.  713-646-4816</w:t>
            </w:r>
          </w:p>
          <w:p>
            <w:pPr>
              <w:pStyle w:val="Normal"/>
              <w:ind w:start="-108" w:end="0"/>
              <w:jc w:val="both"/>
              <w:rPr/>
            </w:pPr>
            <w:r>
              <w:rPr/>
            </w:r>
          </w:p>
          <w:p>
            <w:pPr>
              <w:pStyle w:val="Normal"/>
              <w:ind w:start="-108" w:end="0"/>
              <w:jc w:val="both"/>
              <w:rPr>
                <w:b/>
              </w:rPr>
            </w:pPr>
            <w:r>
              <w:rPr>
                <w:b/>
              </w:rPr>
              <w:t>Billing, Invoices and Accounting Notices:</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Contract Settlement</w:t>
            </w:r>
          </w:p>
          <w:p>
            <w:pPr>
              <w:pStyle w:val="Normal"/>
              <w:ind w:start="-108" w:end="0"/>
              <w:jc w:val="both"/>
              <w:rPr/>
            </w:pPr>
            <w:r>
              <w:rPr/>
              <w:t>Facsimile No.  713-646-8420</w:t>
            </w:r>
          </w:p>
          <w:p>
            <w:pPr>
              <w:pStyle w:val="Normal"/>
              <w:ind w:start="-108" w:end="0"/>
              <w:jc w:val="both"/>
              <w:rPr/>
            </w:pPr>
            <w:r>
              <w:rPr/>
            </w:r>
          </w:p>
        </w:tc>
      </w:tr>
      <w:tr>
        <w:trPr/>
        <w:tc>
          <w:tcPr>
            <w:tcW w:w="2988" w:type="dxa"/>
            <w:tcBorders/>
          </w:tcPr>
          <w:p>
            <w:pPr>
              <w:pStyle w:val="Normal"/>
              <w:snapToGrid w:val="false"/>
              <w:rPr/>
            </w:pPr>
            <w:r>
              <w:rPr/>
            </w:r>
          </w:p>
        </w:tc>
        <w:tc>
          <w:tcPr>
            <w:tcW w:w="6552" w:type="dxa"/>
            <w:tcBorders/>
          </w:tcPr>
          <w:p>
            <w:pPr>
              <w:pStyle w:val="BodyText"/>
              <w:widowControl/>
              <w:ind w:start="-108" w:end="0"/>
              <w:rPr>
                <w:b/>
              </w:rPr>
            </w:pPr>
            <w:r>
              <w:rPr>
                <w:b/>
              </w:rPr>
              <w:t>Payments to Company:</w:t>
            </w:r>
          </w:p>
          <w:p>
            <w:pPr>
              <w:pStyle w:val="Normal"/>
              <w:ind w:start="-108" w:end="0"/>
              <w:jc w:val="both"/>
              <w:rPr/>
            </w:pPr>
            <w:r>
              <w:rPr/>
              <w:t>Enron North America Corp.</w:t>
            </w:r>
          </w:p>
          <w:p>
            <w:pPr>
              <w:pStyle w:val="Normal"/>
              <w:ind w:start="-108" w:end="0"/>
              <w:jc w:val="both"/>
              <w:rPr/>
            </w:pPr>
            <w:r>
              <w:rPr/>
              <w:t xml:space="preserve">ABA Routing 111000012 Bank of America </w:t>
            </w:r>
          </w:p>
          <w:p>
            <w:pPr>
              <w:pStyle w:val="Normal"/>
              <w:ind w:start="-108" w:end="0"/>
              <w:jc w:val="both"/>
              <w:rPr/>
            </w:pPr>
            <w:r>
              <w:rPr/>
              <w:t>Account 3750494099</w:t>
            </w:r>
          </w:p>
          <w:p>
            <w:pPr>
              <w:pStyle w:val="Normal"/>
              <w:ind w:start="-108" w:end="0"/>
              <w:jc w:val="both"/>
              <w:rPr/>
            </w:pPr>
            <w:r>
              <w:rPr/>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ENA Gas Trading</w:t>
            </w:r>
          </w:p>
          <w:p>
            <w:pPr>
              <w:pStyle w:val="Normal"/>
              <w:ind w:start="-108" w:end="0"/>
              <w:rPr/>
            </w:pPr>
            <w:r>
              <w:rPr/>
              <w:t>Facsimile No. (713) 646-2531</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bl>
    <w:p>
      <w:pPr>
        <w:pStyle w:val="BodyText"/>
        <w:widowControl/>
        <w:rPr/>
      </w:pPr>
      <w:r>
        <w:rPr/>
      </w:r>
    </w:p>
    <w:p>
      <w:pPr>
        <w:pStyle w:val="BodyText"/>
        <w:widowControl/>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BodyText"/>
        <w:widowControl/>
        <w:rPr/>
      </w:pPr>
      <w:r>
        <w:rPr/>
      </w:r>
    </w:p>
    <w:p>
      <w:pPr>
        <w:pStyle w:val="BodyText"/>
        <w:widowControl/>
        <w:rPr/>
      </w:pPr>
      <w:r>
        <w:rPr/>
        <w:t>This Confirmation Agreement is being provided pursuant to and in accordance with the attached ENFOLIO FIRM GENERAL TERMS AND CONDITIONS (the “Firm GTC”) and constitutes part of and is subject to all of the provisions of the Firm GTC.  Any objection of Customer to this Confirmation Agreement must be made by written notice to Company within 1 day of Customer’s receipt of same.  Please execute this Confirmation Agreement and return an executed original to Company.</w:t>
      </w:r>
    </w:p>
    <w:p>
      <w:pPr>
        <w:pStyle w:val="BodyText"/>
        <w:widowControl/>
        <w:rPr/>
      </w:pPr>
      <w:r>
        <w:rPr/>
      </w:r>
    </w:p>
    <w:p>
      <w:pPr>
        <w:pStyle w:val="Normal"/>
        <w:rPr>
          <w:b/>
        </w:rPr>
      </w:pPr>
      <w:r>
        <w:rPr>
          <w:b/>
        </w:rPr>
        <w:t>MESA, CITY OF</w:t>
        <w:tab/>
        <w:tab/>
        <w:tab/>
        <w:tab/>
        <w:tab/>
        <w:t>ENRON NORTH AMERICA CORP.</w:t>
      </w:r>
    </w:p>
    <w:p>
      <w:pPr>
        <w:pStyle w:val="Normal"/>
        <w:rPr>
          <w:b/>
        </w:rPr>
      </w:pPr>
      <w:r>
        <w:rPr>
          <w:b/>
        </w:rPr>
      </w:r>
    </w:p>
    <w:p>
      <w:pPr>
        <w:pStyle w:val="Normal"/>
        <w:rPr>
          <w:b/>
        </w:rPr>
      </w:pPr>
      <w:r>
        <w:rPr>
          <w:b/>
        </w:rPr>
      </w:r>
    </w:p>
    <w:p>
      <w:pPr>
        <w:pStyle w:val="Normal"/>
        <w:rPr/>
      </w:pPr>
      <w:r>
        <w:rPr/>
        <w:t>By:____________________________________</w:t>
        <w:tab/>
        <w:tab/>
        <w:t>By: ___________________________________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tab/>
      </w:r>
      <w:r>
        <w:br w:type="page"/>
      </w:r>
    </w:p>
    <w:p>
      <w:pPr>
        <w:pStyle w:val="Heading1"/>
        <w:ind w:hanging="0" w:start="0"/>
        <w:rPr/>
      </w:pPr>
      <w:r>
        <w:rPr/>
        <w:t>Attachment</w:t>
      </w:r>
    </w:p>
    <w:p>
      <w:pPr>
        <w:pStyle w:val="Normal"/>
        <w:jc w:val="center"/>
        <w:rPr/>
      </w:pPr>
      <w:r>
        <w:rPr/>
        <w:t>Contract No. NP1265.1 as modified</w:t>
      </w:r>
    </w:p>
    <w:p>
      <w:pPr>
        <w:pStyle w:val="Normal"/>
        <w:jc w:val="center"/>
        <w:rPr/>
      </w:pPr>
      <w:r>
        <w:rPr/>
      </w:r>
    </w:p>
    <w:p>
      <w:pPr>
        <w:pStyle w:val="Normal"/>
        <w:jc w:val="center"/>
        <w:rPr/>
      </w:pPr>
      <w:r>
        <w:rPr/>
      </w:r>
    </w:p>
    <w:p>
      <w:pPr>
        <w:pStyle w:val="Normal"/>
        <w:tabs>
          <w:tab w:val="clear" w:pos="720"/>
          <w:tab w:val="left" w:pos="2160" w:leader="none"/>
        </w:tabs>
        <w:jc w:val="both"/>
        <w:rPr/>
      </w:pPr>
      <w:r>
        <w:rPr/>
        <w:tab/>
        <w:tab/>
        <w:tab/>
        <w:tab/>
        <w:tab/>
        <w:t xml:space="preserve"> DESIGNATED </w:t>
      </w:r>
    </w:p>
    <w:p>
      <w:pPr>
        <w:pStyle w:val="Normal"/>
        <w:tabs>
          <w:tab w:val="clear" w:pos="720"/>
          <w:tab w:val="left" w:pos="2160" w:leader="none"/>
        </w:tabs>
        <w:jc w:val="both"/>
        <w:rPr/>
      </w:pPr>
      <w:r>
        <w:rPr/>
        <w:tab/>
        <w:t xml:space="preserve">PERIOD OF </w:t>
        <w:tab/>
        <w:tab/>
        <w:tab/>
        <w:t xml:space="preserve">   QUANTITY</w:t>
        <w:tab/>
      </w:r>
    </w:p>
    <w:p>
      <w:pPr>
        <w:pStyle w:val="BodyText"/>
        <w:widowControl/>
        <w:tabs>
          <w:tab w:val="clear" w:pos="720"/>
          <w:tab w:val="left" w:pos="2160" w:leader="none"/>
        </w:tabs>
        <w:rPr/>
      </w:pPr>
      <w:r>
        <w:rPr/>
        <w:tab/>
        <w:t>DELIVERY</w:t>
        <w:tab/>
        <w:tab/>
        <w:tab/>
        <w:t>(MMBtu per day)</w:t>
      </w:r>
    </w:p>
    <w:p>
      <w:pPr>
        <w:pStyle w:val="Normal"/>
        <w:tabs>
          <w:tab w:val="clear" w:pos="720"/>
          <w:tab w:val="left" w:pos="2160" w:leader="none"/>
        </w:tabs>
        <w:jc w:val="both"/>
        <w:rPr/>
      </w:pPr>
      <w:r>
        <w:rPr/>
        <w:tab/>
        <w:t>=========</w:t>
        <w:tab/>
        <w:tab/>
        <w:tab/>
        <w:t>=============</w:t>
      </w:r>
    </w:p>
    <w:p>
      <w:pPr>
        <w:pStyle w:val="Normal"/>
        <w:tabs>
          <w:tab w:val="clear" w:pos="720"/>
          <w:tab w:val="left" w:pos="2160" w:leader="none"/>
        </w:tabs>
        <w:jc w:val="both"/>
        <w:rPr/>
      </w:pPr>
      <w:r>
        <w:rPr/>
        <w:tab/>
      </w:r>
    </w:p>
    <w:p>
      <w:pPr>
        <w:pStyle w:val="Normal"/>
        <w:tabs>
          <w:tab w:val="clear" w:pos="720"/>
          <w:tab w:val="left" w:pos="2160" w:leader="none"/>
        </w:tabs>
        <w:jc w:val="both"/>
        <w:rPr/>
      </w:pPr>
      <w:r>
        <w:rPr/>
        <w:tab/>
        <w:t>July,2000</w:t>
        <w:tab/>
        <w:tab/>
        <w:tab/>
        <w:tab/>
        <w:t>6,000</w:t>
      </w:r>
    </w:p>
    <w:p>
      <w:pPr>
        <w:pStyle w:val="Normal"/>
        <w:tabs>
          <w:tab w:val="clear" w:pos="720"/>
          <w:tab w:val="left" w:pos="2160" w:leader="none"/>
        </w:tabs>
        <w:jc w:val="both"/>
        <w:rPr/>
      </w:pPr>
      <w:r>
        <w:rPr/>
        <w:tab/>
        <w:t>August, 2000</w:t>
        <w:tab/>
        <w:tab/>
        <w:tab/>
        <w:tab/>
        <w:t>3,000</w:t>
      </w:r>
    </w:p>
    <w:p>
      <w:pPr>
        <w:pStyle w:val="Normal"/>
        <w:tabs>
          <w:tab w:val="clear" w:pos="720"/>
          <w:tab w:val="left" w:pos="2160" w:leader="none"/>
        </w:tabs>
        <w:jc w:val="both"/>
        <w:rPr/>
      </w:pPr>
      <w:r>
        <w:rPr/>
        <w:tab/>
        <w:t>September, 2000</w:t>
        <w:tab/>
        <w:tab/>
        <w:tab/>
        <w:t>3,500</w:t>
      </w:r>
    </w:p>
    <w:p>
      <w:pPr>
        <w:pStyle w:val="Normal"/>
        <w:tabs>
          <w:tab w:val="clear" w:pos="720"/>
          <w:tab w:val="left" w:pos="2160" w:leader="none"/>
        </w:tabs>
        <w:jc w:val="both"/>
        <w:rPr/>
      </w:pPr>
      <w:r>
        <w:rPr/>
        <w:tab/>
        <w:t>October, 2000</w:t>
        <w:tab/>
        <w:tab/>
        <w:tab/>
        <w:tab/>
        <w:t>4,500</w:t>
      </w:r>
    </w:p>
    <w:p>
      <w:pPr>
        <w:pStyle w:val="Normal"/>
        <w:tabs>
          <w:tab w:val="clear" w:pos="720"/>
          <w:tab w:val="left" w:pos="2160" w:leader="none"/>
        </w:tabs>
        <w:jc w:val="both"/>
        <w:rPr/>
      </w:pPr>
      <w:r>
        <w:rPr/>
        <w:tab/>
        <w:t>November, 2000</w:t>
        <w:tab/>
        <w:tab/>
        <w:tab/>
        <w:t>4,500</w:t>
      </w:r>
    </w:p>
    <w:p>
      <w:pPr>
        <w:pStyle w:val="Normal"/>
        <w:tabs>
          <w:tab w:val="clear" w:pos="720"/>
          <w:tab w:val="left" w:pos="2160" w:leader="none"/>
        </w:tabs>
        <w:jc w:val="both"/>
        <w:rPr/>
      </w:pPr>
      <w:r>
        <w:rPr/>
        <w:tab/>
        <w:t>December, 2000</w:t>
        <w:tab/>
        <w:tab/>
        <w:tab/>
        <w:t>7,500</w:t>
      </w:r>
    </w:p>
    <w:p>
      <w:pPr>
        <w:pStyle w:val="Normal"/>
        <w:tabs>
          <w:tab w:val="clear" w:pos="720"/>
          <w:tab w:val="left" w:pos="2160" w:leader="none"/>
        </w:tabs>
        <w:jc w:val="both"/>
        <w:rPr/>
      </w:pPr>
      <w:r>
        <w:rPr/>
        <w:tab/>
        <w:t>January, 2001</w:t>
        <w:tab/>
        <w:tab/>
        <w:tab/>
        <w:tab/>
        <w:t>7,500</w:t>
      </w:r>
    </w:p>
    <w:p>
      <w:pPr>
        <w:pStyle w:val="Normal"/>
        <w:tabs>
          <w:tab w:val="clear" w:pos="720"/>
          <w:tab w:val="left" w:pos="2160" w:leader="none"/>
        </w:tabs>
        <w:jc w:val="both"/>
        <w:rPr/>
      </w:pPr>
      <w:r>
        <w:rPr/>
        <w:tab/>
        <w:t>February, 2001</w:t>
        <w:tab/>
        <w:tab/>
        <w:tab/>
        <w:tab/>
        <w:t>6,000</w:t>
      </w:r>
    </w:p>
    <w:p>
      <w:pPr>
        <w:pStyle w:val="Normal"/>
        <w:tabs>
          <w:tab w:val="clear" w:pos="720"/>
          <w:tab w:val="left" w:pos="2160" w:leader="none"/>
        </w:tabs>
        <w:jc w:val="both"/>
        <w:rPr/>
      </w:pPr>
      <w:r>
        <w:rPr/>
        <w:tab/>
        <w:t>March, 2001</w:t>
        <w:tab/>
        <w:tab/>
        <w:tab/>
        <w:tab/>
        <w:t>5,000</w:t>
      </w:r>
    </w:p>
    <w:p>
      <w:pPr>
        <w:pStyle w:val="Normal"/>
        <w:tabs>
          <w:tab w:val="clear" w:pos="720"/>
          <w:tab w:val="left" w:pos="2160" w:leader="none"/>
        </w:tabs>
        <w:jc w:val="both"/>
        <w:rPr/>
      </w:pPr>
      <w:r>
        <w:rPr/>
        <w:tab/>
        <w:t>April, 2001</w:t>
        <w:tab/>
        <w:tab/>
        <w:tab/>
        <w:tab/>
        <w:t>4,000</w:t>
      </w:r>
    </w:p>
    <w:p>
      <w:pPr>
        <w:pStyle w:val="Normal"/>
        <w:tabs>
          <w:tab w:val="clear" w:pos="720"/>
          <w:tab w:val="left" w:pos="2160" w:leader="none"/>
        </w:tabs>
        <w:jc w:val="both"/>
        <w:rPr/>
      </w:pPr>
      <w:r>
        <w:rPr/>
        <w:tab/>
        <w:t>May, 2001</w:t>
        <w:tab/>
        <w:tab/>
        <w:tab/>
        <w:tab/>
        <w:t>3,000</w:t>
      </w:r>
    </w:p>
    <w:p>
      <w:pPr>
        <w:pStyle w:val="Normal"/>
        <w:tabs>
          <w:tab w:val="clear" w:pos="720"/>
          <w:tab w:val="left" w:pos="2160" w:leader="none"/>
        </w:tabs>
        <w:jc w:val="both"/>
        <w:rPr/>
      </w:pPr>
      <w:r>
        <w:rPr/>
        <w:tab/>
        <w:t>June, 2001</w:t>
        <w:tab/>
        <w:tab/>
        <w:tab/>
        <w:tab/>
        <w:t>3,000</w:t>
      </w:r>
    </w:p>
    <w:p>
      <w:pPr>
        <w:pStyle w:val="Normal"/>
        <w:tabs>
          <w:tab w:val="clear" w:pos="720"/>
          <w:tab w:val="left" w:pos="2160" w:leader="none"/>
        </w:tabs>
        <w:jc w:val="both"/>
        <w:rPr/>
      </w:pPr>
      <w:r>
        <w:rPr/>
        <w:tab/>
        <w:t>July, 2001</w:t>
        <w:tab/>
        <w:tab/>
        <w:tab/>
        <w:tab/>
        <w:t>2,500</w:t>
      </w:r>
    </w:p>
    <w:p>
      <w:pPr>
        <w:pStyle w:val="Normal"/>
        <w:tabs>
          <w:tab w:val="clear" w:pos="720"/>
          <w:tab w:val="left" w:pos="2160" w:leader="none"/>
        </w:tabs>
        <w:jc w:val="both"/>
        <w:rPr/>
      </w:pPr>
      <w:r>
        <w:rPr/>
        <w:tab/>
        <w:t>August, 2001</w:t>
        <w:tab/>
        <w:tab/>
        <w:tab/>
        <w:tab/>
        <w:t>3,000</w:t>
      </w:r>
    </w:p>
    <w:p>
      <w:pPr>
        <w:pStyle w:val="Normal"/>
        <w:tabs>
          <w:tab w:val="clear" w:pos="720"/>
          <w:tab w:val="left" w:pos="2160" w:leader="none"/>
        </w:tabs>
        <w:jc w:val="both"/>
        <w:rPr/>
      </w:pPr>
      <w:r>
        <w:rPr/>
        <w:tab/>
        <w:t>September, 2001</w:t>
        <w:tab/>
        <w:tab/>
        <w:tab/>
        <w:t>3,500</w:t>
      </w:r>
    </w:p>
    <w:p>
      <w:pPr>
        <w:pStyle w:val="Normal"/>
        <w:tabs>
          <w:tab w:val="clear" w:pos="720"/>
          <w:tab w:val="left" w:pos="2160" w:leader="none"/>
        </w:tabs>
        <w:jc w:val="both"/>
        <w:rPr/>
      </w:pPr>
      <w:r>
        <w:rPr/>
        <w:tab/>
        <w:t>October, 2001</w:t>
        <w:tab/>
        <w:tab/>
        <w:tab/>
        <w:tab/>
        <w:t>4,500</w:t>
      </w:r>
    </w:p>
    <w:p>
      <w:pPr>
        <w:pStyle w:val="Normal"/>
        <w:tabs>
          <w:tab w:val="clear" w:pos="720"/>
          <w:tab w:val="left" w:pos="2160" w:leader="none"/>
        </w:tabs>
        <w:jc w:val="both"/>
        <w:rPr/>
      </w:pPr>
      <w:r>
        <w:rPr/>
        <w:tab/>
        <w:t>November, 2001</w:t>
        <w:tab/>
        <w:tab/>
        <w:tab/>
        <w:t>4,500</w:t>
      </w:r>
    </w:p>
    <w:p>
      <w:pPr>
        <w:pStyle w:val="Normal"/>
        <w:tabs>
          <w:tab w:val="clear" w:pos="720"/>
          <w:tab w:val="left" w:pos="2160" w:leader="none"/>
        </w:tabs>
        <w:jc w:val="both"/>
        <w:rPr/>
      </w:pPr>
      <w:r>
        <w:rPr/>
        <w:tab/>
        <w:t>December, 2001</w:t>
        <w:tab/>
        <w:tab/>
        <w:tab/>
        <w:t>7,500</w:t>
      </w:r>
    </w:p>
    <w:p>
      <w:pPr>
        <w:pStyle w:val="Normal"/>
        <w:tabs>
          <w:tab w:val="clear" w:pos="720"/>
          <w:tab w:val="left" w:pos="2160" w:leader="none"/>
        </w:tabs>
        <w:jc w:val="both"/>
        <w:rPr/>
      </w:pPr>
      <w:r>
        <w:rPr/>
        <w:tab/>
        <w:t>January, 2002</w:t>
        <w:tab/>
        <w:tab/>
        <w:tab/>
        <w:tab/>
        <w:t>7,500</w:t>
      </w:r>
    </w:p>
    <w:p>
      <w:pPr>
        <w:pStyle w:val="Normal"/>
        <w:tabs>
          <w:tab w:val="clear" w:pos="720"/>
          <w:tab w:val="left" w:pos="2160" w:leader="none"/>
        </w:tabs>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p>
      <w:pPr>
        <w:pStyle w:val="Normal"/>
        <w:jc w:val="center"/>
        <w:rPr>
          <w:rFonts w:ascii="Arial Narrow" w:hAnsi="Arial Narrow" w:cs="Arial Narrow"/>
          <w:b/>
          <w:sz w:val="18"/>
        </w:rPr>
      </w:pPr>
      <w:r>
        <w:rPr>
          <w:rFonts w:cs="Arial Narrow" w:ascii="Arial Narrow" w:hAnsi="Arial Narrow"/>
          <w:b/>
          <w:sz w:val="18"/>
        </w:rPr>
      </w:r>
    </w:p>
    <w:sectPr>
      <w:headerReference w:type="default" r:id="rId6"/>
      <w:headerReference w:type="first" r:id="rId7"/>
      <w:footerReference w:type="default" r:id="rId8"/>
      <w:footerReference w:type="first" r:id="rId9"/>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/mnt/main-storage/datasets/enron-docs/doc/2001_014crfm.doc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/mnt/main-storage/datasets/enron-docs/doc/2001_014crfm.doc</w:t>
    </w:r>
    <w:r>
      <w:rPr>
        <w:sz w:val="12"/>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/mnt/main-storage/datasets/enron-docs/doc/2001_014crfm.doc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/mnt/main-storage/datasets/enron-docs/doc/2001_014crfm.doc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Mesa, City of</w:t>
    </w:r>
  </w:p>
  <w:p>
    <w:pPr>
      <w:pStyle w:val="Header"/>
      <w:rPr>
        <w:rFonts w:ascii="Times New Roman" w:hAnsi="Times New Roman" w:cs="Times New Roman"/>
        <w:sz w:val="22"/>
      </w:rPr>
    </w:pPr>
    <w:r>
      <w:rPr>
        <w:rFonts w:cs="Times New Roman" w:ascii="Times New Roman" w:hAnsi="Times New Roman"/>
        <w:sz w:val="22"/>
      </w:rPr>
      <w:t>January 26,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185483758"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Mesa, City of</w:t>
    </w:r>
  </w:p>
  <w:p>
    <w:pPr>
      <w:pStyle w:val="Header"/>
      <w:rPr>
        <w:rFonts w:ascii="Times New Roman" w:hAnsi="Times New Roman" w:cs="Times New Roman"/>
        <w:sz w:val="22"/>
      </w:rPr>
    </w:pPr>
    <w:r>
      <w:rPr>
        <w:rFonts w:cs="Times New Roman" w:ascii="Times New Roman" w:hAnsi="Times New Roman"/>
        <w:sz w:val="22"/>
      </w:rPr>
      <w:t>January 26, 2001</w:t>
    </w:r>
  </w:p>
  <w:p>
    <w:pPr>
      <w:pStyle w:val="Header"/>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475808751"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2001-01-24T18:54:00Z</dcterms:created>
  <dc:creator>Daniel J. Hyvl</dc:creator>
  <dc:description/>
  <dc:language>en-CA</dc:language>
  <cp:lastModifiedBy>dhyvl</cp:lastModifiedBy>
  <cp:lastPrinted>2001-01-24T15:36:00Z</cp:lastPrinted>
  <dcterms:modified xsi:type="dcterms:W3CDTF">2001-01-24T19:07:00Z</dcterms:modified>
  <cp:revision>6</cp:revision>
  <dc:subject/>
  <dc:title>November 5, 1999</dc:title>
</cp:coreProperties>
</file>