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header2.xml.rels" ContentType="application/vnd.openxmlformats-package.relationships+xml"/>
  <Override PartName="/word/_rels/document.xml.rels" ContentType="application/vnd.openxmlformats-package.relationships+xml"/>
  <Override PartName="/word/_rels/header4.xml.rels" ContentType="application/vnd.openxmlformats-package.relationships+xml"/>
  <Override PartName="/word/numbering.xml" ContentType="application/vnd.openxmlformats-officedocument.wordprocessingml.numbering+xml"/>
  <Override PartName="/word/header4.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media/image1.wmf" ContentType="image/x-wmf"/>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hanging="3600" w:start="3600" w:end="0"/>
        <w:jc w:val="center"/>
        <w:rPr/>
      </w:pPr>
      <w:r>
        <w:rPr/>
      </w:r>
    </w:p>
    <w:p>
      <w:pPr>
        <w:pStyle w:val="Normal"/>
        <w:ind w:hanging="3600" w:start="3600" w:end="0"/>
        <w:jc w:val="center"/>
        <w:rPr/>
      </w:pPr>
      <w:r>
        <w:rPr/>
      </w:r>
    </w:p>
    <w:p>
      <w:pPr>
        <w:pStyle w:val="Normal"/>
        <w:ind w:hanging="3600" w:start="3600" w:end="0"/>
        <w:jc w:val="center"/>
        <w:rPr/>
      </w:pPr>
      <w:r>
        <w:rPr/>
        <w:t>January 26, 2001</w:t>
      </w:r>
    </w:p>
    <w:p>
      <w:pPr>
        <w:pStyle w:val="Normal"/>
        <w:rPr/>
      </w:pPr>
      <w:r>
        <w:rPr/>
      </w:r>
    </w:p>
    <w:p>
      <w:pPr>
        <w:pStyle w:val="Normal"/>
        <w:rPr/>
      </w:pPr>
      <w:r>
        <w:rPr/>
        <w:t>Mesa, City of</w:t>
      </w:r>
    </w:p>
    <w:p>
      <w:pPr>
        <w:pStyle w:val="Normal"/>
        <w:rPr/>
      </w:pPr>
      <w:r>
        <w:rPr/>
        <w:t>P. O. Box 1466</w:t>
      </w:r>
    </w:p>
    <w:p>
      <w:pPr>
        <w:pStyle w:val="Normal"/>
        <w:rPr/>
      </w:pPr>
      <w:r>
        <w:rPr/>
        <w:t>Mesa, AZ 85211-1466</w:t>
      </w:r>
    </w:p>
    <w:p>
      <w:pPr>
        <w:pStyle w:val="Normal"/>
        <w:rPr/>
      </w:pPr>
      <w:r>
        <w:rPr/>
      </w:r>
    </w:p>
    <w:p>
      <w:pPr>
        <w:pStyle w:val="Normal"/>
        <w:rPr/>
      </w:pPr>
      <w:r>
        <w:rPr/>
      </w:r>
    </w:p>
    <w:p>
      <w:pPr>
        <w:pStyle w:val="Normal"/>
        <w:rPr/>
      </w:pPr>
      <w:r>
        <w:rPr/>
        <w:t>Attn:  Document Department</w:t>
      </w:r>
    </w:p>
    <w:p>
      <w:pPr>
        <w:pStyle w:val="Normal"/>
        <w:rPr/>
      </w:pPr>
      <w:r>
        <w:rPr/>
        <w:t>Fax No.:  (480) 644-2768</w:t>
      </w:r>
    </w:p>
    <w:p>
      <w:pPr>
        <w:pStyle w:val="Normal"/>
        <w:rPr/>
      </w:pPr>
      <w:r>
        <w:rPr/>
        <w:t>Trans. No. NP1265.2 / 329338 – as modified</w:t>
      </w:r>
    </w:p>
    <w:p>
      <w:pPr>
        <w:pStyle w:val="Normal"/>
        <w:rPr/>
      </w:pPr>
      <w:r>
        <w:rPr/>
      </w:r>
    </w:p>
    <w:p>
      <w:pPr>
        <w:pStyle w:val="Normal"/>
        <w:rPr/>
      </w:pPr>
      <w:r>
        <w:rPr/>
      </w:r>
    </w:p>
    <w:p>
      <w:pPr>
        <w:pStyle w:val="BodyText2"/>
        <w:rPr/>
      </w:pPr>
      <w:r>
        <w:rPr/>
        <w:t>ENFOLIO® FIRM CONFIRMATION -- ENFOLIO® FIRM GENERAL TERMS &amp; CONDITIONS GOVERN</w:t>
      </w:r>
    </w:p>
    <w:p>
      <w:pPr>
        <w:pStyle w:val="Normal"/>
        <w:rPr/>
      </w:pPr>
      <w:r>
        <w:rPr/>
      </w:r>
    </w:p>
    <w:p>
      <w:pPr>
        <w:pStyle w:val="Normal"/>
        <w:jc w:val="both"/>
        <w:rPr/>
      </w:pPr>
      <w:r>
        <w:rPr/>
        <w:t xml:space="preserve">This Confirmation Agreement shall form and effectuate the agreement agreed to and binding between </w:t>
      </w:r>
      <w:r>
        <w:rPr>
          <w:b/>
          <w:bCs/>
        </w:rPr>
        <w:t>Mesa, City of</w:t>
      </w:r>
      <w:r>
        <w:rPr>
          <w:b/>
        </w:rPr>
        <w:t xml:space="preserve"> </w:t>
      </w:r>
      <w:r>
        <w:rPr/>
        <w:t>(“</w:t>
      </w:r>
      <w:r>
        <w:rPr>
          <w:u w:val="single"/>
        </w:rPr>
        <w:t>Customer</w:t>
      </w:r>
      <w:r>
        <w:rPr/>
        <w:t xml:space="preserve">”) and </w:t>
      </w:r>
      <w:r>
        <w:rPr>
          <w:b/>
        </w:rPr>
        <w:t>Enron North America</w:t>
      </w:r>
      <w:r>
        <w:rPr/>
        <w:t xml:space="preserve"> </w:t>
      </w:r>
      <w:r>
        <w:rPr>
          <w:b/>
        </w:rPr>
        <w:t xml:space="preserve">Corp. </w:t>
      </w:r>
      <w:r>
        <w:rPr/>
        <w:t>(“</w:t>
      </w:r>
      <w:r>
        <w:rPr>
          <w:u w:val="single"/>
        </w:rPr>
        <w:t>Company</w:t>
      </w:r>
      <w:r>
        <w:rPr/>
        <w:t>”) regarding the firm purchase and sale of Gas transaction under the following terms and conditions.  Customer to purchase and receive (“Buyer”) and Company to sell and deliver (“Seller”).  Reference is heremade to that certain Confirmation dated July 13, 2000 between Customer and Company (the “July 13, 2000 Confirmation”).  Customer and Company hereby agreed that the July 13, 2000 Confirmation is amended by revising the price and extending the term as herein provided and that this Confirmation Agreement shall supercede the July 13, 2000 Confirmation in its entirety.</w:t>
      </w:r>
    </w:p>
    <w:p>
      <w:pPr>
        <w:pStyle w:val="Normal"/>
        <w:rPr/>
      </w:pPr>
      <w:r>
        <w:rPr/>
      </w:r>
    </w:p>
    <w:tbl>
      <w:tblPr>
        <w:tblW w:w="9540" w:type="dxa"/>
        <w:jc w:val="start"/>
        <w:tblInd w:w="0" w:type="dxa"/>
        <w:tblLayout w:type="fixed"/>
        <w:tblCellMar>
          <w:top w:w="0" w:type="dxa"/>
          <w:start w:w="108" w:type="dxa"/>
          <w:bottom w:w="0" w:type="dxa"/>
          <w:end w:w="108" w:type="dxa"/>
        </w:tblCellMar>
      </w:tblPr>
      <w:tblGrid>
        <w:gridCol w:w="2988"/>
        <w:gridCol w:w="6552"/>
      </w:tblGrid>
      <w:tr>
        <w:trPr/>
        <w:tc>
          <w:tcPr>
            <w:tcW w:w="2988" w:type="dxa"/>
            <w:tcBorders/>
          </w:tcPr>
          <w:p>
            <w:pPr>
              <w:pStyle w:val="Normal"/>
              <w:rPr>
                <w:b/>
              </w:rPr>
            </w:pPr>
            <w:r>
              <w:rPr>
                <w:b/>
              </w:rPr>
              <w:t>Designated Quantity:</w:t>
            </w:r>
          </w:p>
        </w:tc>
        <w:tc>
          <w:tcPr>
            <w:tcW w:w="6552" w:type="dxa"/>
            <w:tcBorders/>
          </w:tcPr>
          <w:p>
            <w:pPr>
              <w:pStyle w:val="Normal"/>
              <w:ind w:start="-108" w:end="-144"/>
              <w:rPr/>
            </w:pPr>
            <w:r>
              <w:rPr/>
              <w:t>See Attachment</w:t>
            </w:r>
          </w:p>
        </w:tc>
      </w:tr>
      <w:tr>
        <w:trPr/>
        <w:tc>
          <w:tcPr>
            <w:tcW w:w="298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2988" w:type="dxa"/>
            <w:tcBorders/>
          </w:tcPr>
          <w:p>
            <w:pPr>
              <w:pStyle w:val="Normal"/>
              <w:rPr>
                <w:b/>
              </w:rPr>
            </w:pPr>
            <w:r>
              <w:rPr>
                <w:b/>
              </w:rPr>
              <w:t>DELIVERY POINT(S):</w:t>
            </w:r>
          </w:p>
        </w:tc>
        <w:tc>
          <w:tcPr>
            <w:tcW w:w="6552" w:type="dxa"/>
            <w:tcBorders/>
          </w:tcPr>
          <w:p>
            <w:pPr>
              <w:pStyle w:val="Normal"/>
              <w:ind w:start="-108" w:end="144"/>
              <w:jc w:val="both"/>
              <w:rPr/>
            </w:pPr>
            <w:r>
              <w:rPr/>
              <w:t>El Paso Natural Gas Co. – San Juan Basin, Bondad.</w:t>
            </w:r>
          </w:p>
        </w:tc>
      </w:tr>
      <w:tr>
        <w:trPr/>
        <w:tc>
          <w:tcPr>
            <w:tcW w:w="2988" w:type="dxa"/>
            <w:tcBorders/>
          </w:tcPr>
          <w:p>
            <w:pPr>
              <w:pStyle w:val="Normal"/>
              <w:snapToGrid w:val="false"/>
              <w:rPr/>
            </w:pPr>
            <w:r>
              <w:rPr/>
            </w:r>
          </w:p>
        </w:tc>
        <w:tc>
          <w:tcPr>
            <w:tcW w:w="6552" w:type="dxa"/>
            <w:tcBorders/>
          </w:tcPr>
          <w:p>
            <w:pPr>
              <w:pStyle w:val="Normal"/>
              <w:snapToGrid w:val="false"/>
              <w:ind w:start="-108" w:end="-144"/>
              <w:rPr/>
            </w:pPr>
            <w:r>
              <w:rPr/>
            </w:r>
          </w:p>
        </w:tc>
      </w:tr>
      <w:tr>
        <w:trPr/>
        <w:tc>
          <w:tcPr>
            <w:tcW w:w="2988" w:type="dxa"/>
            <w:tcBorders/>
          </w:tcPr>
          <w:p>
            <w:pPr>
              <w:pStyle w:val="Normal"/>
              <w:rPr>
                <w:b/>
              </w:rPr>
            </w:pPr>
            <w:r>
              <w:rPr>
                <w:b/>
              </w:rPr>
              <w:t>CONTRACT PRICE:</w:t>
            </w:r>
          </w:p>
        </w:tc>
        <w:tc>
          <w:tcPr>
            <w:tcW w:w="6552" w:type="dxa"/>
            <w:tcBorders/>
          </w:tcPr>
          <w:p>
            <w:pPr>
              <w:pStyle w:val="Normal"/>
              <w:ind w:start="-108" w:end="144"/>
              <w:jc w:val="both"/>
              <w:rPr/>
            </w:pPr>
            <w:r>
              <w:rPr/>
              <w:t>US Dollars $3.7400 per MMBtu for the period August 01, 2000 through January 31, 2001, US Dollars $4.1400 per MMBtu for the period February 01, 2001 through July 31, 2001, and the “Index Price” published in Inside F.E.R.C.’s Gas Market Report for El Paso Natural Gas Co., San Juan Basin, as listed in the table entitled “Prices of Spot Gas Delivered to Pipelines” in the first-of-the-month issue of such publication for each Month during the period August 01, 2001 through January 31, 2002 minus US Dollars $0.3000 per MMBtu.</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2988" w:type="dxa"/>
            <w:tcBorders/>
          </w:tcPr>
          <w:p>
            <w:pPr>
              <w:pStyle w:val="Normal"/>
              <w:rPr>
                <w:b/>
              </w:rPr>
            </w:pPr>
            <w:r>
              <w:rPr>
                <w:b/>
              </w:rPr>
              <w:t>PERIOD OF DELIVERY:</w:t>
            </w:r>
          </w:p>
        </w:tc>
        <w:tc>
          <w:tcPr>
            <w:tcW w:w="6552" w:type="dxa"/>
            <w:tcBorders/>
          </w:tcPr>
          <w:p>
            <w:pPr>
              <w:pStyle w:val="Normal"/>
              <w:ind w:start="-108" w:end="0"/>
              <w:rPr/>
            </w:pPr>
            <w:r>
              <w:rPr/>
              <w:t>August 01, 2000 through January 31, 2002.</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r>
        <w:trPr/>
        <w:tc>
          <w:tcPr>
            <w:tcW w:w="2988" w:type="dxa"/>
            <w:tcBorders/>
          </w:tcPr>
          <w:p>
            <w:pPr>
              <w:pStyle w:val="Normal"/>
              <w:jc w:val="both"/>
              <w:rPr>
                <w:b/>
              </w:rPr>
            </w:pPr>
            <w:r>
              <w:rPr>
                <w:b/>
              </w:rPr>
              <w:t>SPOT PRICE LOCATION:</w:t>
            </w:r>
          </w:p>
        </w:tc>
        <w:tc>
          <w:tcPr>
            <w:tcW w:w="6552" w:type="dxa"/>
            <w:tcBorders/>
          </w:tcPr>
          <w:p>
            <w:pPr>
              <w:pStyle w:val="Normal"/>
              <w:ind w:start="-108" w:end="0"/>
              <w:jc w:val="both"/>
              <w:rPr/>
            </w:pPr>
            <w:r>
              <w:rPr/>
              <w:t>El Paso San Juan Basin</w:t>
            </w:r>
          </w:p>
        </w:tc>
      </w:tr>
      <w:tr>
        <w:trPr/>
        <w:tc>
          <w:tcPr>
            <w:tcW w:w="2988" w:type="dxa"/>
            <w:tcBorders/>
          </w:tcPr>
          <w:p>
            <w:pPr>
              <w:pStyle w:val="Normal"/>
              <w:snapToGrid w:val="false"/>
              <w:rPr/>
            </w:pPr>
            <w:r>
              <w:rPr/>
            </w:r>
          </w:p>
        </w:tc>
        <w:tc>
          <w:tcPr>
            <w:tcW w:w="6552" w:type="dxa"/>
            <w:tcBorders/>
          </w:tcPr>
          <w:p>
            <w:pPr>
              <w:pStyle w:val="Normal"/>
              <w:snapToGrid w:val="false"/>
              <w:ind w:start="-108" w:end="0"/>
              <w:jc w:val="both"/>
              <w:rPr/>
            </w:pPr>
            <w:r>
              <w:rPr/>
            </w:r>
          </w:p>
        </w:tc>
      </w:tr>
      <w:tr>
        <w:trPr/>
        <w:tc>
          <w:tcPr>
            <w:tcW w:w="2988" w:type="dxa"/>
            <w:tcBorders/>
          </w:tcPr>
          <w:p>
            <w:pPr>
              <w:pStyle w:val="Normal"/>
              <w:snapToGrid w:val="false"/>
              <w:rPr>
                <w:b/>
              </w:rPr>
            </w:pPr>
            <w:r>
              <w:rPr>
                <w:b/>
              </w:rPr>
            </w:r>
          </w:p>
        </w:tc>
        <w:tc>
          <w:tcPr>
            <w:tcW w:w="6552" w:type="dxa"/>
            <w:tcBorders/>
          </w:tcPr>
          <w:p>
            <w:pPr>
              <w:pStyle w:val="Normal"/>
              <w:ind w:start="-108" w:end="0"/>
              <w:jc w:val="both"/>
              <w:rPr>
                <w:b/>
              </w:rPr>
            </w:pPr>
            <w:r>
              <w:rPr>
                <w:b/>
              </w:rPr>
              <w:t>Notice and Communication to Company:</w:t>
            </w:r>
          </w:p>
          <w:p>
            <w:pPr>
              <w:pStyle w:val="Normal"/>
              <w:ind w:start="-108" w:end="0"/>
              <w:jc w:val="both"/>
              <w:rPr/>
            </w:pPr>
            <w:r>
              <w:rPr/>
              <w:t>Enron North America Corp.</w:t>
            </w:r>
          </w:p>
          <w:p>
            <w:pPr>
              <w:pStyle w:val="Normal"/>
              <w:ind w:start="-108" w:end="0"/>
              <w:jc w:val="both"/>
              <w:rPr/>
            </w:pPr>
            <w:r>
              <w:rPr/>
              <w:t>P.O. Box 4428</w:t>
            </w:r>
          </w:p>
          <w:p>
            <w:pPr>
              <w:pStyle w:val="Normal"/>
              <w:ind w:start="-108" w:end="0"/>
              <w:jc w:val="both"/>
              <w:rPr/>
            </w:pPr>
            <w:r>
              <w:rPr/>
              <w:t>Houston, TX  77210-4428</w:t>
            </w:r>
          </w:p>
          <w:p>
            <w:pPr>
              <w:pStyle w:val="Normal"/>
              <w:ind w:start="-108" w:end="0"/>
              <w:jc w:val="both"/>
              <w:rPr/>
            </w:pPr>
            <w:r>
              <w:rPr/>
              <w:t>Attn:  Confirmation / Documentation</w:t>
            </w:r>
          </w:p>
          <w:p>
            <w:pPr>
              <w:pStyle w:val="Normal"/>
              <w:ind w:start="-108" w:end="0"/>
              <w:jc w:val="both"/>
              <w:rPr/>
            </w:pPr>
            <w:r>
              <w:rPr/>
              <w:t>Facsimile No.  713-646-4816</w:t>
            </w:r>
          </w:p>
          <w:p>
            <w:pPr>
              <w:pStyle w:val="Normal"/>
              <w:ind w:start="-108" w:end="0"/>
              <w:jc w:val="both"/>
              <w:rPr/>
            </w:pPr>
            <w:r>
              <w:rPr/>
            </w:r>
          </w:p>
          <w:p>
            <w:pPr>
              <w:pStyle w:val="Normal"/>
              <w:ind w:start="-108" w:end="0"/>
              <w:jc w:val="both"/>
              <w:rPr>
                <w:b/>
              </w:rPr>
            </w:pPr>
            <w:r>
              <w:rPr>
                <w:b/>
              </w:rPr>
              <w:t>Billing, Invoices and Accounting Notices:</w:t>
            </w:r>
          </w:p>
          <w:p>
            <w:pPr>
              <w:pStyle w:val="Normal"/>
              <w:ind w:start="-108" w:end="0"/>
              <w:jc w:val="both"/>
              <w:rPr/>
            </w:pPr>
            <w:r>
              <w:rPr/>
              <w:t>Enron North America Corp.</w:t>
            </w:r>
          </w:p>
          <w:p>
            <w:pPr>
              <w:pStyle w:val="Normal"/>
              <w:ind w:start="-108" w:end="0"/>
              <w:jc w:val="both"/>
              <w:rPr/>
            </w:pPr>
            <w:r>
              <w:rPr/>
              <w:t>P.O. Box 4428</w:t>
            </w:r>
          </w:p>
          <w:p>
            <w:pPr>
              <w:pStyle w:val="Normal"/>
              <w:ind w:start="-108" w:end="0"/>
              <w:jc w:val="both"/>
              <w:rPr/>
            </w:pPr>
            <w:r>
              <w:rPr/>
              <w:t>Houston, TX  77210-4428</w:t>
            </w:r>
          </w:p>
          <w:p>
            <w:pPr>
              <w:pStyle w:val="Normal"/>
              <w:ind w:start="-108" w:end="0"/>
              <w:jc w:val="both"/>
              <w:rPr/>
            </w:pPr>
            <w:r>
              <w:rPr/>
              <w:t>Attn:  Contract Settlement</w:t>
            </w:r>
          </w:p>
          <w:p>
            <w:pPr>
              <w:pStyle w:val="Normal"/>
              <w:ind w:start="-108" w:end="0"/>
              <w:jc w:val="both"/>
              <w:rPr/>
            </w:pPr>
            <w:r>
              <w:rPr/>
              <w:t>Facsimile No.  713-646-8420</w:t>
            </w:r>
          </w:p>
          <w:p>
            <w:pPr>
              <w:pStyle w:val="Normal"/>
              <w:ind w:start="-108" w:end="0"/>
              <w:jc w:val="both"/>
              <w:rPr/>
            </w:pPr>
            <w:r>
              <w:rPr/>
            </w:r>
          </w:p>
        </w:tc>
      </w:tr>
      <w:tr>
        <w:trPr/>
        <w:tc>
          <w:tcPr>
            <w:tcW w:w="2988" w:type="dxa"/>
            <w:tcBorders/>
          </w:tcPr>
          <w:p>
            <w:pPr>
              <w:pStyle w:val="Normal"/>
              <w:snapToGrid w:val="false"/>
              <w:rPr/>
            </w:pPr>
            <w:r>
              <w:rPr/>
            </w:r>
          </w:p>
        </w:tc>
        <w:tc>
          <w:tcPr>
            <w:tcW w:w="6552" w:type="dxa"/>
            <w:tcBorders/>
          </w:tcPr>
          <w:p>
            <w:pPr>
              <w:pStyle w:val="BodyText"/>
              <w:widowControl/>
              <w:ind w:start="-108" w:end="0"/>
              <w:rPr>
                <w:b/>
              </w:rPr>
            </w:pPr>
            <w:r>
              <w:rPr>
                <w:b/>
              </w:rPr>
              <w:t>Payments to Company:</w:t>
            </w:r>
          </w:p>
          <w:p>
            <w:pPr>
              <w:pStyle w:val="Normal"/>
              <w:ind w:start="-108" w:end="0"/>
              <w:jc w:val="both"/>
              <w:rPr/>
            </w:pPr>
            <w:r>
              <w:rPr/>
              <w:t>Enron North America Corp.</w:t>
            </w:r>
          </w:p>
          <w:p>
            <w:pPr>
              <w:pStyle w:val="Normal"/>
              <w:ind w:start="-108" w:end="0"/>
              <w:jc w:val="both"/>
              <w:rPr/>
            </w:pPr>
            <w:r>
              <w:rPr/>
              <w:t xml:space="preserve">ABA Routing 111000012 Bank of America </w:t>
            </w:r>
          </w:p>
          <w:p>
            <w:pPr>
              <w:pStyle w:val="Normal"/>
              <w:ind w:start="-108" w:end="0"/>
              <w:jc w:val="both"/>
              <w:rPr/>
            </w:pPr>
            <w:r>
              <w:rPr/>
              <w:t>Account 3750494099</w:t>
            </w:r>
          </w:p>
          <w:p>
            <w:pPr>
              <w:pStyle w:val="Normal"/>
              <w:ind w:start="-108" w:end="0"/>
              <w:jc w:val="both"/>
              <w:rPr/>
            </w:pPr>
            <w:r>
              <w:rPr/>
            </w:r>
          </w:p>
          <w:p>
            <w:pPr>
              <w:pStyle w:val="Normal"/>
              <w:ind w:start="-108" w:end="0"/>
              <w:jc w:val="both"/>
              <w:rPr>
                <w:b/>
              </w:rPr>
            </w:pPr>
            <w:r>
              <w:rPr>
                <w:b/>
              </w:rPr>
              <w:t>Nominations to Company:</w:t>
            </w:r>
          </w:p>
          <w:p>
            <w:pPr>
              <w:pStyle w:val="Normal"/>
              <w:ind w:start="-108" w:end="0"/>
              <w:jc w:val="both"/>
              <w:rPr/>
            </w:pPr>
            <w:r>
              <w:rPr/>
              <w:t>1(800)356-9427/1(800)FLOWGAS</w:t>
            </w:r>
          </w:p>
          <w:p>
            <w:pPr>
              <w:pStyle w:val="Normal"/>
              <w:ind w:start="-108" w:end="0"/>
              <w:jc w:val="both"/>
              <w:rPr>
                <w:b/>
              </w:rPr>
            </w:pPr>
            <w:r>
              <w:rPr>
                <w:b/>
              </w:rPr>
              <w:t>Scheduling Confirmations to Company:</w:t>
            </w:r>
          </w:p>
          <w:p>
            <w:pPr>
              <w:pStyle w:val="Normal"/>
              <w:ind w:start="-108" w:end="0"/>
              <w:jc w:val="both"/>
              <w:rPr/>
            </w:pPr>
            <w:r>
              <w:rPr/>
              <w:t>Attn:  ENA Gas Trading</w:t>
            </w:r>
          </w:p>
          <w:p>
            <w:pPr>
              <w:pStyle w:val="Normal"/>
              <w:ind w:start="-108" w:end="0"/>
              <w:rPr/>
            </w:pPr>
            <w:r>
              <w:rPr/>
              <w:t>Facsimile No. (713) 646-2531</w:t>
            </w:r>
          </w:p>
        </w:tc>
      </w:tr>
      <w:tr>
        <w:trPr/>
        <w:tc>
          <w:tcPr>
            <w:tcW w:w="2988" w:type="dxa"/>
            <w:tcBorders/>
          </w:tcPr>
          <w:p>
            <w:pPr>
              <w:pStyle w:val="Normal"/>
              <w:snapToGrid w:val="false"/>
              <w:rPr/>
            </w:pPr>
            <w:r>
              <w:rPr/>
            </w:r>
          </w:p>
        </w:tc>
        <w:tc>
          <w:tcPr>
            <w:tcW w:w="6552" w:type="dxa"/>
            <w:tcBorders/>
          </w:tcPr>
          <w:p>
            <w:pPr>
              <w:pStyle w:val="Normal"/>
              <w:snapToGrid w:val="false"/>
              <w:ind w:start="-108" w:end="0"/>
              <w:rPr/>
            </w:pPr>
            <w:r>
              <w:rPr/>
            </w:r>
          </w:p>
        </w:tc>
      </w:tr>
    </w:tbl>
    <w:p>
      <w:pPr>
        <w:pStyle w:val="BodyText"/>
        <w:widowControl/>
        <w:rPr/>
      </w:pPr>
      <w:r>
        <w:rPr/>
      </w:r>
    </w:p>
    <w:p>
      <w:pPr>
        <w:pStyle w:val="BodyText"/>
        <w:widowControl/>
        <w:rPr/>
      </w:pPr>
      <w:r>
        <w:rPr/>
        <w:t>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BodyText"/>
        <w:widowControl/>
        <w:rPr/>
      </w:pPr>
      <w:r>
        <w:rPr/>
      </w:r>
    </w:p>
    <w:p>
      <w:pPr>
        <w:pStyle w:val="BodyText"/>
        <w:widowControl/>
        <w:rPr/>
      </w:pPr>
      <w:r>
        <w:rPr/>
        <w:t>This Confirmation Agreement is being provided pursuant to and in accordance with the attached ENFOLIO FIRM GENERAL TERMS AND CONDITIONS (the “Firm GTC”) and constitutes part of and is subject to all of the provisions of the Firm GTC.  Any objection of Customer to this Confirmation Agreement must be made by written notice to Company within 1 day of Customer’s receipt of same.  Please execute this Confirmation Agreement and return an executed original to Company.</w:t>
      </w:r>
    </w:p>
    <w:p>
      <w:pPr>
        <w:pStyle w:val="BodyText"/>
        <w:widowControl/>
        <w:rPr/>
      </w:pPr>
      <w:r>
        <w:rPr/>
      </w:r>
    </w:p>
    <w:p>
      <w:pPr>
        <w:pStyle w:val="Normal"/>
        <w:rPr>
          <w:b/>
        </w:rPr>
      </w:pPr>
      <w:r>
        <w:rPr>
          <w:b/>
        </w:rPr>
        <w:t>MESA, CITY OF</w:t>
        <w:tab/>
        <w:tab/>
        <w:tab/>
        <w:tab/>
        <w:tab/>
        <w:t>ENRON NORTH AMERICA CORP.</w:t>
      </w:r>
    </w:p>
    <w:p>
      <w:pPr>
        <w:pStyle w:val="Normal"/>
        <w:rPr>
          <w:b/>
        </w:rPr>
      </w:pPr>
      <w:r>
        <w:rPr>
          <w:b/>
        </w:rPr>
      </w:r>
    </w:p>
    <w:p>
      <w:pPr>
        <w:pStyle w:val="Normal"/>
        <w:rPr>
          <w:b/>
        </w:rPr>
      </w:pPr>
      <w:r>
        <w:rPr>
          <w:b/>
        </w:rPr>
      </w:r>
    </w:p>
    <w:p>
      <w:pPr>
        <w:pStyle w:val="Normal"/>
        <w:rPr/>
      </w:pPr>
      <w:r>
        <w:rPr/>
        <w:t>By:____________________________________</w:t>
        <w:tab/>
        <w:tab/>
        <w:t>By: ___________________________________</w:t>
        <w:tab/>
      </w:r>
    </w:p>
    <w:p>
      <w:pPr>
        <w:pStyle w:val="Normal"/>
        <w:rPr/>
      </w:pPr>
      <w:r>
        <w:rPr/>
        <w:t>Signature</w:t>
        <w:tab/>
        <w:tab/>
        <w:tab/>
        <w:tab/>
        <w:tab/>
        <w:tab/>
        <w:t>Signature</w:t>
      </w:r>
    </w:p>
    <w:p>
      <w:pPr>
        <w:pStyle w:val="Normal"/>
        <w:rPr/>
      </w:pPr>
      <w:r>
        <w:rPr/>
        <w:t xml:space="preserve">Printed </w:t>
        <w:tab/>
        <w:tab/>
        <w:tab/>
        <w:tab/>
        <w:tab/>
        <w:tab/>
        <w:tab/>
        <w:t>Printed</w:t>
      </w:r>
    </w:p>
    <w:p>
      <w:pPr>
        <w:pStyle w:val="Normal"/>
        <w:rPr/>
      </w:pPr>
      <w:r>
        <w:rPr/>
        <w:t>Name</w:t>
      </w:r>
      <w:r>
        <w:rPr>
          <w:u w:val="single"/>
        </w:rPr>
        <w:tab/>
        <w:tab/>
        <w:tab/>
        <w:tab/>
        <w:tab/>
        <w:tab/>
      </w:r>
      <w:r>
        <w:rPr/>
        <w:tab/>
        <w:t>Name</w:t>
      </w:r>
      <w:r>
        <w:rPr>
          <w:u w:val="single"/>
        </w:rPr>
        <w:tab/>
        <w:tab/>
        <w:tab/>
        <w:tab/>
        <w:tab/>
        <w:tab/>
      </w:r>
    </w:p>
    <w:p>
      <w:pPr>
        <w:pStyle w:val="Normal"/>
        <w:rPr/>
      </w:pPr>
      <w:r>
        <w:rPr/>
      </w:r>
    </w:p>
    <w:p>
      <w:pPr>
        <w:pStyle w:val="Normal"/>
        <w:rPr/>
      </w:pPr>
      <w:r>
        <w:rPr/>
        <w:t>Title</w:t>
      </w:r>
      <w:r>
        <w:rPr>
          <w:u w:val="single"/>
        </w:rPr>
        <w:tab/>
        <w:tab/>
        <w:tab/>
        <w:tab/>
        <w:tab/>
        <w:tab/>
      </w:r>
      <w:r>
        <w:rPr/>
        <w:tab/>
        <w:t>Title</w:t>
      </w:r>
      <w:r>
        <w:rPr>
          <w:u w:val="single"/>
        </w:rPr>
        <w:tab/>
        <w:tab/>
        <w:tab/>
        <w:tab/>
        <w:tab/>
        <w:tab/>
      </w:r>
      <w:r>
        <w:br w:type="page"/>
      </w:r>
    </w:p>
    <w:p>
      <w:pPr>
        <w:pStyle w:val="Heading1"/>
        <w:ind w:hanging="0" w:start="0"/>
        <w:rPr/>
      </w:pPr>
      <w:r>
        <w:rPr/>
        <w:t>Attachment</w:t>
      </w:r>
    </w:p>
    <w:p>
      <w:pPr>
        <w:pStyle w:val="Normal"/>
        <w:jc w:val="center"/>
        <w:rPr/>
      </w:pPr>
      <w:r>
        <w:rPr/>
        <w:t>Contract No. NP1265.2 as modified</w:t>
      </w:r>
    </w:p>
    <w:p>
      <w:pPr>
        <w:pStyle w:val="Normal"/>
        <w:jc w:val="center"/>
        <w:rPr/>
      </w:pPr>
      <w:r>
        <w:rPr/>
      </w:r>
    </w:p>
    <w:p>
      <w:pPr>
        <w:pStyle w:val="Normal"/>
        <w:jc w:val="center"/>
        <w:rPr/>
      </w:pPr>
      <w:r>
        <w:rPr/>
      </w:r>
    </w:p>
    <w:p>
      <w:pPr>
        <w:pStyle w:val="Normal"/>
        <w:jc w:val="both"/>
        <w:rPr/>
      </w:pPr>
      <w:r>
        <w:rPr/>
        <w:tab/>
        <w:tab/>
        <w:tab/>
        <w:tab/>
        <w:t xml:space="preserve"> DESIGNATED </w:t>
      </w:r>
    </w:p>
    <w:p>
      <w:pPr>
        <w:pStyle w:val="Normal"/>
        <w:jc w:val="both"/>
        <w:rPr/>
      </w:pPr>
      <w:r>
        <w:rPr/>
        <w:t xml:space="preserve">PERIOD OF </w:t>
        <w:tab/>
        <w:tab/>
        <w:tab/>
        <w:t xml:space="preserve">   QUANTITY</w:t>
        <w:tab/>
        <w:tab/>
        <w:tab/>
        <w:t xml:space="preserve">   CONTRACT PRICE</w:t>
      </w:r>
    </w:p>
    <w:p>
      <w:pPr>
        <w:pStyle w:val="Normal"/>
        <w:jc w:val="both"/>
        <w:rPr/>
      </w:pPr>
      <w:r>
        <w:rPr/>
        <w:t>DELIVERY</w:t>
        <w:tab/>
        <w:tab/>
        <w:tab/>
        <w:t>(MMBtu per day)</w:t>
        <w:tab/>
        <w:tab/>
        <w:t>(US Dollars per MMBtu)</w:t>
      </w:r>
    </w:p>
    <w:p>
      <w:pPr>
        <w:pStyle w:val="Normal"/>
        <w:jc w:val="both"/>
        <w:rPr/>
      </w:pPr>
      <w:r>
        <w:rPr/>
        <w:t>=========</w:t>
        <w:tab/>
        <w:tab/>
        <w:tab/>
        <w:t>=============</w:t>
        <w:tab/>
        <w:tab/>
        <w:t>==================</w:t>
      </w:r>
    </w:p>
    <w:p>
      <w:pPr>
        <w:pStyle w:val="Normal"/>
        <w:jc w:val="both"/>
        <w:rPr/>
      </w:pPr>
      <w:r>
        <w:rPr/>
      </w:r>
    </w:p>
    <w:p>
      <w:pPr>
        <w:pStyle w:val="Normal"/>
        <w:jc w:val="both"/>
        <w:rPr/>
      </w:pPr>
      <w:r>
        <w:rPr/>
        <w:t>August, 2000</w:t>
        <w:tab/>
        <w:tab/>
        <w:tab/>
        <w:tab/>
        <w:t>3,000</w:t>
        <w:tab/>
        <w:tab/>
        <w:tab/>
        <w:tab/>
        <w:t>$3.7400</w:t>
      </w:r>
    </w:p>
    <w:p>
      <w:pPr>
        <w:pStyle w:val="Normal"/>
        <w:jc w:val="both"/>
        <w:rPr/>
      </w:pPr>
      <w:r>
        <w:rPr/>
        <w:t>September, 2000</w:t>
        <w:tab/>
        <w:tab/>
        <w:tab/>
        <w:t>3,500</w:t>
        <w:tab/>
        <w:tab/>
        <w:tab/>
        <w:tab/>
        <w:t>$3.7400</w:t>
      </w:r>
    </w:p>
    <w:p>
      <w:pPr>
        <w:pStyle w:val="Normal"/>
        <w:jc w:val="both"/>
        <w:rPr/>
      </w:pPr>
      <w:r>
        <w:rPr/>
        <w:t>October, 2000</w:t>
        <w:tab/>
        <w:tab/>
        <w:tab/>
        <w:tab/>
        <w:t>4,500</w:t>
        <w:tab/>
        <w:tab/>
        <w:tab/>
        <w:tab/>
        <w:t>$3.7400</w:t>
      </w:r>
    </w:p>
    <w:p>
      <w:pPr>
        <w:pStyle w:val="Normal"/>
        <w:jc w:val="both"/>
        <w:rPr/>
      </w:pPr>
      <w:r>
        <w:rPr/>
        <w:t>November, 2000</w:t>
        <w:tab/>
        <w:tab/>
        <w:tab/>
        <w:t>4,500</w:t>
        <w:tab/>
        <w:tab/>
        <w:tab/>
        <w:tab/>
        <w:t>$3.7400</w:t>
      </w:r>
    </w:p>
    <w:p>
      <w:pPr>
        <w:pStyle w:val="Normal"/>
        <w:jc w:val="both"/>
        <w:rPr/>
      </w:pPr>
      <w:r>
        <w:rPr/>
        <w:t>December, 2000</w:t>
        <w:tab/>
        <w:tab/>
        <w:tab/>
        <w:t>7,500</w:t>
        <w:tab/>
        <w:tab/>
        <w:tab/>
        <w:tab/>
        <w:t>$3.7400</w:t>
      </w:r>
    </w:p>
    <w:p>
      <w:pPr>
        <w:pStyle w:val="Normal"/>
        <w:jc w:val="both"/>
        <w:rPr/>
      </w:pPr>
      <w:r>
        <w:rPr/>
        <w:t>January, 2001</w:t>
        <w:tab/>
        <w:tab/>
        <w:tab/>
        <w:tab/>
        <w:t>7,500</w:t>
        <w:tab/>
        <w:tab/>
        <w:tab/>
        <w:tab/>
        <w:t>$3.7400</w:t>
      </w:r>
    </w:p>
    <w:p>
      <w:pPr>
        <w:pStyle w:val="Normal"/>
        <w:jc w:val="both"/>
        <w:rPr/>
      </w:pPr>
      <w:r>
        <w:rPr/>
        <w:t>February, 2001</w:t>
        <w:tab/>
        <w:tab/>
        <w:tab/>
        <w:tab/>
        <w:t>6,000</w:t>
        <w:tab/>
        <w:tab/>
        <w:tab/>
        <w:tab/>
        <w:t>$4.1400</w:t>
      </w:r>
    </w:p>
    <w:p>
      <w:pPr>
        <w:pStyle w:val="Normal"/>
        <w:jc w:val="both"/>
        <w:rPr/>
      </w:pPr>
      <w:r>
        <w:rPr/>
        <w:t>March, 2001</w:t>
        <w:tab/>
        <w:tab/>
        <w:tab/>
        <w:tab/>
        <w:t>5,000</w:t>
        <w:tab/>
        <w:tab/>
        <w:tab/>
        <w:tab/>
        <w:t>$4.1400</w:t>
      </w:r>
    </w:p>
    <w:p>
      <w:pPr>
        <w:pStyle w:val="Normal"/>
        <w:jc w:val="both"/>
        <w:rPr/>
      </w:pPr>
      <w:r>
        <w:rPr/>
        <w:t>April, 2001</w:t>
        <w:tab/>
        <w:tab/>
        <w:tab/>
        <w:tab/>
        <w:t>4,000</w:t>
        <w:tab/>
        <w:tab/>
        <w:tab/>
        <w:tab/>
        <w:t>$4.1400</w:t>
      </w:r>
    </w:p>
    <w:p>
      <w:pPr>
        <w:pStyle w:val="Normal"/>
        <w:jc w:val="both"/>
        <w:rPr/>
      </w:pPr>
      <w:r>
        <w:rPr/>
        <w:t>May, 2001</w:t>
        <w:tab/>
        <w:tab/>
        <w:tab/>
        <w:tab/>
        <w:t>3,000</w:t>
        <w:tab/>
        <w:tab/>
        <w:tab/>
        <w:tab/>
        <w:t>$4.1400</w:t>
      </w:r>
    </w:p>
    <w:p>
      <w:pPr>
        <w:pStyle w:val="Normal"/>
        <w:jc w:val="both"/>
        <w:rPr/>
      </w:pPr>
      <w:r>
        <w:rPr/>
        <w:t>June, 2001</w:t>
        <w:tab/>
        <w:tab/>
        <w:tab/>
        <w:tab/>
        <w:t>3,000</w:t>
        <w:tab/>
        <w:tab/>
        <w:tab/>
        <w:tab/>
        <w:t>$4.1400</w:t>
      </w:r>
    </w:p>
    <w:p>
      <w:pPr>
        <w:pStyle w:val="Normal"/>
        <w:jc w:val="both"/>
        <w:rPr/>
      </w:pPr>
      <w:r>
        <w:rPr/>
        <w:t>July, 2001</w:t>
        <w:tab/>
        <w:tab/>
        <w:tab/>
        <w:tab/>
        <w:t>3,000</w:t>
        <w:tab/>
        <w:tab/>
        <w:tab/>
        <w:tab/>
        <w:t>$4.1400</w:t>
      </w:r>
    </w:p>
    <w:p>
      <w:pPr>
        <w:pStyle w:val="Normal"/>
        <w:jc w:val="both"/>
        <w:rPr/>
      </w:pPr>
      <w:r>
        <w:rPr/>
        <w:t>August, 2001</w:t>
        <w:tab/>
        <w:tab/>
        <w:tab/>
        <w:tab/>
        <w:t>3,000</w:t>
        <w:tab/>
        <w:tab/>
        <w:tab/>
        <w:t>Index Price minus $0.300</w:t>
      </w:r>
    </w:p>
    <w:p>
      <w:pPr>
        <w:pStyle w:val="Normal"/>
        <w:jc w:val="both"/>
        <w:rPr/>
      </w:pPr>
      <w:r>
        <w:rPr/>
        <w:t>September, 2001</w:t>
        <w:tab/>
        <w:tab/>
        <w:tab/>
        <w:t>3,500</w:t>
        <w:tab/>
        <w:tab/>
        <w:tab/>
        <w:t>Index Price minus $0.300</w:t>
      </w:r>
    </w:p>
    <w:p>
      <w:pPr>
        <w:pStyle w:val="Normal"/>
        <w:jc w:val="both"/>
        <w:rPr/>
      </w:pPr>
      <w:r>
        <w:rPr/>
        <w:t>October, 2001</w:t>
        <w:tab/>
        <w:tab/>
        <w:tab/>
        <w:tab/>
        <w:t>4,500</w:t>
        <w:tab/>
        <w:tab/>
        <w:tab/>
        <w:t>Index Price minus $0.300</w:t>
      </w:r>
    </w:p>
    <w:p>
      <w:pPr>
        <w:pStyle w:val="Normal"/>
        <w:jc w:val="both"/>
        <w:rPr/>
      </w:pPr>
      <w:r>
        <w:rPr/>
        <w:t>November, 2001</w:t>
        <w:tab/>
        <w:tab/>
        <w:tab/>
        <w:t>4,500</w:t>
        <w:tab/>
        <w:tab/>
        <w:tab/>
        <w:t>Index Price minus $0.300</w:t>
      </w:r>
    </w:p>
    <w:p>
      <w:pPr>
        <w:pStyle w:val="Normal"/>
        <w:jc w:val="both"/>
        <w:rPr/>
      </w:pPr>
      <w:r>
        <w:rPr/>
        <w:t>December, 2001</w:t>
        <w:tab/>
        <w:tab/>
        <w:tab/>
        <w:t>7,500</w:t>
        <w:tab/>
        <w:tab/>
        <w:tab/>
        <w:t>Index Price minus $0.300</w:t>
      </w:r>
    </w:p>
    <w:p>
      <w:pPr>
        <w:pStyle w:val="Normal"/>
        <w:jc w:val="both"/>
        <w:rPr/>
      </w:pPr>
      <w:r>
        <w:rPr/>
        <w:t>January, 2002</w:t>
        <w:tab/>
        <w:tab/>
        <w:tab/>
        <w:tab/>
        <w:t>7,500</w:t>
        <w:tab/>
        <w:tab/>
        <w:tab/>
        <w:t>Index Price minus $0.300</w:t>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pStyle w:val="Normal"/>
        <w:rPr/>
      </w:pPr>
      <w:r>
        <w:rPr/>
      </w:r>
    </w:p>
    <w:p>
      <w:pPr>
        <w:pStyle w:val="Normal"/>
        <w:jc w:val="center"/>
        <w:rPr/>
      </w:pPr>
      <w:r>
        <w:rPr>
          <w:rFonts w:cs="Arial Narrow" w:ascii="Arial Narrow" w:hAnsi="Arial Narrow"/>
          <w:b/>
          <w:sz w:val="18"/>
        </w:rPr>
        <w:t>ENFOLIO</w:t>
      </w:r>
      <w:r>
        <w:rPr>
          <w:rFonts w:cs="Arial Narrow" w:ascii="Symbol" w:hAnsi="Symbol"/>
          <w:b/>
          <w:position w:val="6"/>
          <w:sz w:val="18"/>
        </w:rPr>
        <w:sym w:font="Symbol" w:char="e2"/>
      </w:r>
      <w:r>
        <w:rPr>
          <w:rFonts w:cs="Arial Narrow" w:ascii="Arial Narrow" w:hAnsi="Arial Narrow"/>
          <w:b/>
          <w:sz w:val="18"/>
        </w:rPr>
        <w:t xml:space="preserve"> FIRM GENERAL TERMS &amp; CONDITIONS      </w:t>
      </w:r>
    </w:p>
    <w:p>
      <w:pPr>
        <w:pStyle w:val="Normal"/>
        <w:jc w:val="both"/>
        <w:rPr/>
      </w:pPr>
      <w:r>
        <w:rPr>
          <w:rFonts w:eastAsia="Arial Narrow" w:cs="Arial Narrow" w:ascii="Arial Narrow" w:hAnsi="Arial Narrow"/>
          <w:b/>
          <w:sz w:val="18"/>
          <w:u w:val="single"/>
        </w:rPr>
        <w:t xml:space="preserve"> </w:t>
      </w:r>
      <w:r>
        <w:rPr>
          <w:rFonts w:cs="Arial Narrow" w:ascii="Arial Narrow" w:hAnsi="Arial Narrow"/>
          <w:b/>
          <w:sz w:val="18"/>
          <w:u w:val="single"/>
        </w:rPr>
        <w:t>1.  Transactions</w:t>
      </w:r>
      <w:r>
        <w:rPr>
          <w:rFonts w:cs="Arial Narrow" w:ascii="Arial Narrow" w:hAnsi="Arial Narrow"/>
          <w:sz w:val="18"/>
        </w:rPr>
        <w:t>.  The parties shall engage in transactions pursuant to these Enfolio terms and conditions (this "</w:t>
      </w:r>
      <w:r>
        <w:rPr>
          <w:rFonts w:cs="Arial Narrow" w:ascii="Arial Narrow" w:hAnsi="Arial Narrow"/>
          <w:sz w:val="18"/>
          <w:u w:val="single"/>
        </w:rPr>
        <w:t>Firm GTC</w:t>
      </w:r>
      <w:r>
        <w:rPr>
          <w:rFonts w:cs="Arial Narrow" w:ascii="Arial Narrow" w:hAnsi="Arial Narrow"/>
          <w:sz w:val="18"/>
        </w:rPr>
        <w:t>") and Enfolio confirmations of transactions ("</w:t>
      </w:r>
      <w:r>
        <w:rPr>
          <w:rFonts w:cs="Arial Narrow" w:ascii="Arial Narrow" w:hAnsi="Arial Narrow"/>
          <w:sz w:val="18"/>
          <w:u w:val="single"/>
        </w:rPr>
        <w:t>Firm Confirmations</w:t>
      </w:r>
      <w:r>
        <w:rPr>
          <w:rFonts w:cs="Arial Narrow" w:ascii="Arial Narrow" w:hAnsi="Arial Narrow"/>
          <w:sz w:val="18"/>
        </w:rPr>
        <w:t xml:space="preserve">") referencing this Firm GTC, which may be issued at the discretion of Company therein identified.  Transactions may be formed in a recorded telephone conversation between the parties whereby an offer and acceptance shall constitute the valid and enforceable agreement of the parties subject to this Firm GTC and all transactions between the parties shall be considered a single master agreement governed by this Firm GTC.  Any transaction formed pursuant to the foregoing shall be considered to be a "writing" or "in writing" and to have been "signed" and any transaction tape shall be considered to constitute an "original" document evidencing a transaction.  The parties agree not to contest or assert a defense to the validity or enforceability of telephonic transactions entered into in accordance with this Firm GTC under laws relating to (i) whether certain agreements are to be in writing or signed by the party to be thereby bound or (ii) the authority of any employee of such party. Upon issuance of a Confirmation, if no objection to the Confirmation has been received in accordance with applicable law, the Confirmation shall be conclusive evidence of the transaction made the subject matter thereof and the final expression of all of its terms.  The </w:t>
      </w:r>
      <w:r>
        <w:rPr>
          <w:rFonts w:cs="Arial Narrow" w:ascii="Arial Narrow" w:hAnsi="Arial Narrow"/>
          <w:b/>
          <w:sz w:val="18"/>
        </w:rPr>
        <w:t>Daily Contract Quantity</w:t>
      </w:r>
      <w:r>
        <w:rPr>
          <w:rFonts w:cs="Arial Narrow" w:ascii="Arial Narrow" w:hAnsi="Arial Narrow"/>
          <w:sz w:val="18"/>
        </w:rPr>
        <w:t xml:space="preserve"> shall be scheduled by </w:t>
      </w:r>
      <w:r>
        <w:rPr>
          <w:rFonts w:cs="Arial Narrow" w:ascii="Arial Narrow" w:hAnsi="Arial Narrow"/>
          <w:b/>
          <w:sz w:val="18"/>
        </w:rPr>
        <w:t xml:space="preserve">Seller </w:t>
      </w:r>
      <w:r>
        <w:rPr>
          <w:rFonts w:cs="Arial Narrow" w:ascii="Arial Narrow" w:hAnsi="Arial Narrow"/>
          <w:sz w:val="18"/>
        </w:rPr>
        <w:t xml:space="preserve">and </w:t>
      </w:r>
      <w:r>
        <w:rPr>
          <w:rFonts w:cs="Arial Narrow" w:ascii="Arial Narrow" w:hAnsi="Arial Narrow"/>
          <w:b/>
          <w:sz w:val="18"/>
        </w:rPr>
        <w:t xml:space="preserve">Buyer </w:t>
      </w:r>
      <w:r>
        <w:rPr>
          <w:rFonts w:cs="Arial Narrow" w:ascii="Arial Narrow" w:hAnsi="Arial Narrow"/>
          <w:sz w:val="18"/>
        </w:rPr>
        <w:t xml:space="preserve">at the </w:t>
      </w:r>
      <w:r>
        <w:rPr>
          <w:rFonts w:cs="Arial Narrow" w:ascii="Arial Narrow" w:hAnsi="Arial Narrow"/>
          <w:b/>
          <w:sz w:val="18"/>
        </w:rPr>
        <w:t>Delivery Point(s)</w:t>
      </w:r>
      <w:r>
        <w:rPr>
          <w:rFonts w:cs="Arial Narrow" w:ascii="Arial Narrow" w:hAnsi="Arial Narrow"/>
          <w:sz w:val="18"/>
        </w:rPr>
        <w:t xml:space="preserve"> during the </w:t>
      </w:r>
      <w:r>
        <w:rPr>
          <w:rFonts w:cs="Arial Narrow" w:ascii="Arial Narrow" w:hAnsi="Arial Narrow"/>
          <w:b/>
          <w:sz w:val="18"/>
        </w:rPr>
        <w:t>Period of Delivery</w:t>
      </w:r>
      <w:r>
        <w:rPr>
          <w:rFonts w:cs="Arial Narrow" w:ascii="Arial Narrow" w:hAnsi="Arial Narrow"/>
          <w:sz w:val="18"/>
        </w:rPr>
        <w:t xml:space="preserve"> and at the </w:t>
      </w:r>
      <w:r>
        <w:rPr>
          <w:rFonts w:cs="Arial Narrow" w:ascii="Arial Narrow" w:hAnsi="Arial Narrow"/>
          <w:b/>
          <w:sz w:val="18"/>
        </w:rPr>
        <w:t xml:space="preserve">Contract Price </w:t>
      </w:r>
      <w:r>
        <w:rPr>
          <w:rFonts w:cs="Arial Narrow" w:ascii="Arial Narrow" w:hAnsi="Arial Narrow"/>
          <w:sz w:val="18"/>
        </w:rPr>
        <w:t xml:space="preserve">as provided in each transaction.  </w:t>
      </w:r>
    </w:p>
    <w:p>
      <w:pPr>
        <w:pStyle w:val="Normal"/>
        <w:jc w:val="both"/>
        <w:rPr/>
      </w:pPr>
      <w:r>
        <w:rPr>
          <w:rFonts w:cs="Arial Narrow" w:ascii="Arial Narrow" w:hAnsi="Arial Narrow"/>
          <w:b/>
          <w:sz w:val="18"/>
          <w:u w:val="single"/>
        </w:rPr>
        <w:t>2.  Quantity Obligations</w:t>
      </w:r>
      <w:r>
        <w:rPr>
          <w:rFonts w:cs="Arial Narrow" w:ascii="Arial Narrow" w:hAnsi="Arial Narrow"/>
          <w:sz w:val="18"/>
        </w:rPr>
        <w:t>.  All gas shall be scheduled at the Delivery Point(s) on a firm basis and in the Daily Contract Quantity.  If on any day a party fails to schedule the DailyContract Quantity, then such occurrence shall constitute a "</w:t>
      </w:r>
      <w:r>
        <w:rPr>
          <w:rFonts w:cs="Arial Narrow" w:ascii="Arial Narrow" w:hAnsi="Arial Narrow"/>
          <w:sz w:val="18"/>
          <w:u w:val="single"/>
        </w:rPr>
        <w:t>Default</w:t>
      </w:r>
      <w:r>
        <w:rPr>
          <w:rFonts w:cs="Arial Narrow" w:ascii="Arial Narrow" w:hAnsi="Arial Narrow"/>
          <w:sz w:val="18"/>
        </w:rPr>
        <w:t>" and the "</w:t>
      </w:r>
      <w:r>
        <w:rPr>
          <w:rFonts w:cs="Arial Narrow" w:ascii="Arial Narrow" w:hAnsi="Arial Narrow"/>
          <w:sz w:val="18"/>
          <w:u w:val="single"/>
        </w:rPr>
        <w:t>Default Quantity</w:t>
      </w:r>
      <w:r>
        <w:rPr>
          <w:rFonts w:cs="Arial Narrow" w:ascii="Arial Narrow" w:hAnsi="Arial Narrow"/>
          <w:sz w:val="18"/>
        </w:rPr>
        <w:t xml:space="preserve">" shall be the numerical difference between the Daily Contract Quantity and the amount of gas scheduled.  Upon Default, the defaulting party shall pay to the other party an amount equal to the </w:t>
      </w:r>
      <w:r>
        <w:rPr>
          <w:rFonts w:cs="Arial Narrow" w:ascii="Arial Narrow" w:hAnsi="Arial Narrow"/>
          <w:sz w:val="18"/>
          <w:u w:val="single"/>
        </w:rPr>
        <w:t>sum</w:t>
      </w:r>
      <w:r>
        <w:rPr>
          <w:rFonts w:cs="Arial Narrow" w:ascii="Arial Narrow" w:hAnsi="Arial Narrow"/>
          <w:sz w:val="18"/>
        </w:rPr>
        <w:t xml:space="preserve"> of the product of the Default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liquidated damages equal to $0.15 multiplied by the Default Quantity.  "</w:t>
      </w:r>
      <w:r>
        <w:rPr>
          <w:rFonts w:cs="Arial Narrow" w:ascii="Arial Narrow" w:hAnsi="Arial Narrow"/>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day in which the default occurred, and (ii) in the event of a Buyer's Deficiency Default, the positive difference, if any, obtained by subtracting the Spot Price for the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r>
        <w:rPr>
          <w:rFonts w:cs="Arial Narrow" w:ascii="Arial Narrow" w:hAnsi="Arial Narrow"/>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(Financial Times Energy), or successor publication, in the column "Daily Price Survey" under the listing applicable to the geographic location agreed pursuant to a Transaction for the relevant gas day.  If there is no single "Daily Midpoint" price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jc w:val="both"/>
        <w:rPr>
          <w:rFonts w:ascii="Arial Narrow" w:hAnsi="Arial Narrow" w:cs="Arial Narrow"/>
          <w:b/>
          <w:sz w:val="18"/>
        </w:rPr>
      </w:pPr>
      <w:r>
        <w:rPr>
          <w:rFonts w:cs="Arial Narrow" w:ascii="Arial Narrow" w:hAnsi="Arial Narrow"/>
          <w:b/>
          <w:sz w:val="18"/>
          <w:u w:val="single"/>
        </w:rPr>
        <w:t>3.  Early Termination</w:t>
      </w:r>
      <w:r>
        <w:rPr>
          <w:rFonts w:cs="Arial Narrow" w:ascii="Arial Narrow" w:hAnsi="Arial Narrow"/>
          <w:sz w:val="18"/>
        </w:rPr>
        <w:t>.  If a Triggering Event occurs with respect to either party during a Period of Delivery, the other party (the "</w:t>
      </w:r>
      <w:r>
        <w:rPr>
          <w:rFonts w:cs="Arial Narrow" w:ascii="Arial Narrow" w:hAnsi="Arial Narrow"/>
          <w:sz w:val="18"/>
          <w:u w:val="single"/>
        </w:rPr>
        <w:t>Notifying Party</w:t>
      </w:r>
      <w:r>
        <w:rPr>
          <w:rFonts w:cs="Arial Narrow" w:ascii="Arial Narrow" w:hAnsi="Arial Narrow"/>
          <w:sz w:val="18"/>
        </w:rPr>
        <w:t>") may upon three days written notice to the first party establish a date on which any or all transactions governed by this Firm GTC will terminate ("</w:t>
      </w:r>
      <w:r>
        <w:rPr>
          <w:rFonts w:cs="Arial Narrow" w:ascii="Arial Narrow" w:hAnsi="Arial Narrow"/>
          <w:sz w:val="18"/>
          <w:u w:val="single"/>
        </w:rPr>
        <w:t>Early Termination Date</w:t>
      </w:r>
      <w:r>
        <w:rPr>
          <w:rFonts w:cs="Arial Narrow" w:ascii="Arial Narrow" w:hAnsi="Arial Narrow"/>
          <w:sz w:val="18"/>
        </w:rPr>
        <w:t>") and withhold any payments then due; provided, in respect of Triggering Event (ii) all transactions shall automatically terminate.  The Notifying Party shall calculate its damages, including its associated costs and attorneys' fees, resulting from the termination of the transactions selected by it, or in the case of Triggering Event (ii) all transactions (the "</w:t>
      </w:r>
      <w:r>
        <w:rPr>
          <w:rFonts w:cs="Arial Narrow" w:ascii="Arial Narrow" w:hAnsi="Arial Narrow"/>
          <w:sz w:val="18"/>
          <w:u w:val="single"/>
        </w:rPr>
        <w:t>Termination Payment</w:t>
      </w:r>
      <w:r>
        <w:rPr>
          <w:rFonts w:cs="Arial Narrow" w:ascii="Arial Narrow" w:hAnsi="Arial Narrow"/>
          <w:sz w:val="18"/>
        </w:rPr>
        <w:t>").  The Termination Payment will be determined by (i) comparing the value of (a) the remaining Period of Delivery, Daily Contract Quantity and Contract Price under each such transaction had it not been terminated to (b) the equivalent quantities and relevant market prices for the remaining Period of Delivery either quoted by a bona fide third party offer or which are reasonably expected to be available in the market under a replacement contract and (ii) ascertaining the associated costs and attorneys' fees.  All terminated transactions shall be netted against each other.  The Notifying Party shall provide the Affected Party a written statement of the amount of the Termination Payment.  If a Termination Payment is owed to the Notifying Party, the Affected Party shall pay the Termination Payment to the Notifying Party within 10 days of receipt of such statement.  If a Termination Payment is owed to the Affected Party, the Notifying Party shall pay the Termination Payment to the Affected Party within 10 days of Affected Party's receipt of such notice.  At the time for payment of any Termination Payment, each party shall pay to the other party all additional amounts payable by it pursuant hereto.  "</w:t>
      </w:r>
      <w:r>
        <w:rPr>
          <w:rFonts w:cs="Arial Narrow" w:ascii="Arial Narrow" w:hAnsi="Arial Narrow"/>
          <w:sz w:val="18"/>
          <w:u w:val="single"/>
        </w:rPr>
        <w:t>Triggering Event</w:t>
      </w:r>
      <w:r>
        <w:rPr>
          <w:rFonts w:cs="Arial Narrow" w:ascii="Arial Narrow" w:hAnsi="Arial Narrow"/>
          <w:sz w:val="18"/>
        </w:rPr>
        <w:t>" means, with respect to a party (the "</w:t>
      </w:r>
      <w:r>
        <w:rPr>
          <w:rFonts w:cs="Arial Narrow" w:ascii="Arial Narrow" w:hAnsi="Arial Narrow"/>
          <w:sz w:val="18"/>
          <w:u w:val="single"/>
        </w:rPr>
        <w:t>Affected Party</w:t>
      </w:r>
      <w:r>
        <w:rPr>
          <w:rFonts w:cs="Arial Narrow" w:ascii="Arial Narrow" w:hAnsi="Arial Narrow"/>
          <w:sz w:val="18"/>
        </w:rPr>
        <w:t>"):  (i) the failure by the Affected Party to make, when due, any payment required or to perform any other covenant set forth herein, in each case within three days after receipt of notice thereof, or (ii) the Affected Party shall (a) make an assignment or arrange</w:t>
        <w:softHyphen/>
        <w:t>ment for the benefit of creditors, (b) file a petition or commence, authorize or acquiesce in the commencement of a proceed</w:t>
        <w:softHyphen/>
        <w:t xml:space="preserve">ing under any bankruptcy or similar law, or have such petition filed against it and such proceeding remains undismissed for 30 days, (c) otherwise become bankrupt or insolvent or (d) be unable to pay its debts as they fall due or (iii) the Affected Party's unexcused failure to schedule the Daily Contract Quantity for a cumulative period of 10 or more days in a 3 month period. </w:t>
      </w:r>
    </w:p>
    <w:p>
      <w:pPr>
        <w:pStyle w:val="Normal"/>
        <w:jc w:val="both"/>
        <w:rPr/>
      </w:pPr>
      <w:r>
        <w:rPr>
          <w:rFonts w:cs="Arial Narrow" w:ascii="Arial Narrow" w:hAnsi="Arial Narrow"/>
          <w:b/>
          <w:sz w:val="18"/>
          <w:u w:val="single"/>
        </w:rPr>
        <w:t>4.  Other Events</w:t>
      </w:r>
      <w:r>
        <w:rPr>
          <w:rFonts w:cs="Arial Narrow" w:ascii="Arial Narrow" w:hAnsi="Arial Narrow"/>
          <w:sz w:val="18"/>
        </w:rPr>
        <w:t>.  If the Affected Party's activities become subject to regulation of any kind (other than with respect to New Taxes) to a  different extent than that existing at the Firm Confirmation date (the "</w:t>
      </w:r>
      <w:r>
        <w:rPr>
          <w:rFonts w:cs="Arial Narrow" w:ascii="Arial Narrow" w:hAnsi="Arial Narrow"/>
          <w:sz w:val="18"/>
          <w:u w:val="single"/>
        </w:rPr>
        <w:t>Confirm Date</w:t>
      </w:r>
      <w:r>
        <w:rPr>
          <w:rFonts w:cs="Arial Narrow" w:ascii="Arial Narrow" w:hAnsi="Arial Narrow"/>
          <w:sz w:val="18"/>
        </w:rPr>
        <w:t>") and such regulation either (i) renders a transaction unenforceable or (ii) materially adversely affects the business (financial or otherwise) of the Affected Party, then in the case of (i), either party, and in the case of (ii), only the Affected Party, shall have the right to declare an Early Termination Date in accordance herewith; provided, notwithstanding such right, the Affected Party shall pay the Termination Payment calculated by the non-Affected Party as above provided.</w:t>
      </w:r>
    </w:p>
    <w:p>
      <w:pPr>
        <w:pStyle w:val="Normal"/>
        <w:jc w:val="both"/>
        <w:rPr/>
      </w:pPr>
      <w:r>
        <w:rPr>
          <w:rFonts w:cs="Arial Narrow" w:ascii="Arial Narrow" w:hAnsi="Arial Narrow"/>
          <w:b/>
          <w:sz w:val="18"/>
          <w:u w:val="single"/>
        </w:rPr>
        <w:t>5.  Operations and Delivery</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Should Buyer desire to change the quantity to be scheduled, Buyer shall provide to Seller facsimile notice thereof not later than one business day prior to the earliest nomination deadline of either transporter for the applicable day.  Scheduling requests to Seller will be accepted at the telephone number provided by Seller to Buyer and shall be confirmed by facsimile.  Seller shall obtain transportation to the Delivery Point(s), and Buyer shall obtain transporta</w:t>
        <w:softHyphen/>
        <w:t xml:space="preserve">tion from the Delivery Point(s).  Seller represents that all scheduled gas shall meet the specifications of Buyer's transporter.  Unless otherwise agreed nothing herein, including an event of </w:t>
      </w:r>
      <w:r>
        <w:rPr>
          <w:rFonts w:cs="Arial Narrow" w:ascii="Arial Narrow" w:hAnsi="Arial Narrow"/>
          <w:sz w:val="18"/>
          <w:u w:val="single"/>
        </w:rPr>
        <w:t>Force Majeure</w:t>
      </w:r>
      <w:r>
        <w:rPr>
          <w:rFonts w:cs="Arial Narrow" w:ascii="Arial Narrow" w:hAnsi="Arial Narrow"/>
          <w:sz w:val="18"/>
        </w:rPr>
        <w:t>, shall require or permit either party to schedule gas at a point other than a Delivery Point or in excess of the Daily Contract Quantity.  If either party receives an order from a transporter requiring action in connection with a transaction (the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a copy of same by facsimile.  Each party shall take all OFO actions required and shall indemnify, defend and hold harmless the other party from any claims related to the OFO under which the indemnifying party failed to take the action required thereby.</w:t>
      </w:r>
    </w:p>
    <w:p>
      <w:pPr>
        <w:pStyle w:val="Normal"/>
        <w:jc w:val="both"/>
        <w:rPr/>
      </w:pPr>
      <w:r>
        <w:rPr>
          <w:rFonts w:cs="Arial Narrow" w:ascii="Arial Narrow" w:hAnsi="Arial Narrow"/>
          <w:b/>
          <w:sz w:val="18"/>
          <w:u w:val="single"/>
        </w:rPr>
        <w:t>6.  Payments</w:t>
      </w:r>
      <w:r>
        <w:rPr>
          <w:rFonts w:cs="Arial Narrow" w:ascii="Arial Narrow" w:hAnsi="Arial Narrow"/>
          <w:sz w:val="18"/>
        </w:rPr>
        <w:t xml:space="preserve">.  By the 10th day of each month Seller shall provide Buyer a written statement covering the preceding month.  Billing and payment will be based on scheduled quantities.  Within 10 days of the request of either party, the other party shall provide, to the extent it has a legal right of access thereto and/or such statement is then available, a copy of the applicable transporter's allocation or imbalance statement for the requested period.  All amounts payable under this Firm GTC are due by the 25th day of the month in which the statement therefor was received.  If the due date for any payment to be made hereunder is not a business day, the due date for such payment shall be the following business day.  Payment of all funds shall be made by wire payment in such manner that U.S. funds are immediately available to the payee on the applicable due date.  Interest on past due amounts shall accrue at the lesser of the rate of 10% per annum or the maximum rate permitted by law.  Obligations to make payment under all transactions governed by this Firm GTC may be offset against each other, set off or recouped therefrom, or netted for payment. </w:t>
      </w:r>
    </w:p>
    <w:p>
      <w:pPr>
        <w:pStyle w:val="Normal"/>
        <w:jc w:val="both"/>
        <w:rPr/>
      </w:pPr>
      <w:r>
        <w:rPr>
          <w:rFonts w:cs="Arial Narrow" w:ascii="Arial Narrow" w:hAnsi="Arial Narrow"/>
          <w:b/>
          <w:sz w:val="18"/>
          <w:u w:val="single"/>
        </w:rPr>
        <w:t>7.  Taxes</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The Contract Price includes full reimburse</w:t>
        <w:softHyphen/>
        <w:t>ment for, and Seller shall pay, or reimburse Buyer for, all taxes applicable to the gas sold upstream of the Delivery Point(s).  The Contract Price does not include reimbursement for, and Buyer shall pay, or reimburse Seller for, all taxes applicable to the gas sold downstream of or at the Delivery Point(s).  Notwithstanding the foregoing, if a tax payable by either party is enacted and effective after the Confirm Date (a "</w:t>
      </w:r>
      <w:r>
        <w:rPr>
          <w:rFonts w:cs="Arial Narrow" w:ascii="Arial Narrow" w:hAnsi="Arial Narrow"/>
          <w:sz w:val="18"/>
          <w:u w:val="single"/>
        </w:rPr>
        <w:t>New Tax</w:t>
      </w:r>
      <w:r>
        <w:rPr>
          <w:rFonts w:cs="Arial Narrow" w:ascii="Arial Narrow" w:hAnsi="Arial Narrow"/>
          <w:sz w:val="18"/>
        </w:rPr>
        <w:t>"), such taxed party may declare an Early Termination Date for all transactions.  The Early Termination Date shall be effected as if a Triggering Event had occurred and the Termination Payment calculated as herein set forth; provided, the parties shall share equally any gain or loss.</w:t>
      </w:r>
    </w:p>
    <w:p>
      <w:pPr>
        <w:pStyle w:val="Normal"/>
        <w:jc w:val="both"/>
        <w:rPr/>
      </w:pPr>
      <w:r>
        <w:rPr>
          <w:rFonts w:cs="Arial Narrow" w:ascii="Arial Narrow" w:hAnsi="Arial Narrow"/>
          <w:b/>
          <w:sz w:val="18"/>
          <w:u w:val="single"/>
        </w:rPr>
        <w:t>8.  Force Majeure</w:t>
      </w:r>
      <w:r>
        <w:rPr>
          <w:rFonts w:cs="Arial Narrow" w:ascii="Arial Narrow" w:hAnsi="Arial Narrow"/>
          <w:sz w:val="18"/>
        </w:rPr>
        <w:t xml:space="preserve">. </w:t>
      </w:r>
      <w:r>
        <w:rPr>
          <w:rFonts w:cs="Arial Narrow" w:ascii="Arial Narrow" w:hAnsi="Arial Narrow"/>
          <w:b/>
          <w:sz w:val="18"/>
        </w:rPr>
        <w:t xml:space="preserve"> </w:t>
      </w:r>
      <w:r>
        <w:rPr>
          <w:rFonts w:cs="Arial Narrow" w:ascii="Arial Narrow" w:hAnsi="Arial Narrow"/>
          <w:sz w:val="18"/>
        </w:rPr>
        <w:t>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(to be confirmed in writing), the obligations of such party,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w:t>
      </w:r>
      <w:r>
        <w:rPr>
          <w:rFonts w:cs="Arial Narrow" w:ascii="Arial Narrow" w:hAnsi="Arial Narrow"/>
          <w:b/>
          <w:i/>
          <w:sz w:val="18"/>
          <w:u w:val="single"/>
        </w:rPr>
        <w:t>Force Majeure</w:t>
      </w:r>
      <w:r>
        <w:rPr>
          <w:rFonts w:cs="Arial Narrow" w:ascii="Arial Narrow" w:hAnsi="Arial Narrow"/>
          <w:sz w:val="18"/>
        </w:rPr>
        <w:t>" means an event not anticipated as of the transaction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services of transporters.</w:t>
      </w:r>
    </w:p>
    <w:p>
      <w:pPr>
        <w:pStyle w:val="Normal"/>
        <w:jc w:val="both"/>
        <w:rPr/>
      </w:pPr>
      <w:r>
        <w:rPr>
          <w:rFonts w:cs="Arial Narrow" w:ascii="Arial Narrow" w:hAnsi="Arial Narrow"/>
          <w:b/>
          <w:sz w:val="18"/>
          <w:u w:val="single"/>
        </w:rPr>
        <w:t>9.   Title, Risk of Loss and Indemnity</w:t>
      </w:r>
      <w:r>
        <w:rPr>
          <w:rFonts w:cs="Arial Narrow" w:ascii="Arial Narrow" w:hAnsi="Arial Narrow"/>
          <w:sz w:val="18"/>
        </w:rPr>
        <w:t xml:space="preserve">.  Seller warrants that title to the gas is free from all production burdens, liens and adverse claims and warrants its right to sell the same.  As between the parties, Seller shall be deemed to be in exclusive control and possession of the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Each party assumes all liability for and shall indemnify, defend and hold harmless the other party from any claims, including death of persons, arising from any act or incident occurring when title to gas is vested in the indemnifying party.  </w:t>
      </w:r>
      <w:r>
        <w:rPr>
          <w:rFonts w:cs="Arial Narrow" w:ascii="Arial Narrow" w:hAnsi="Arial Narrow"/>
          <w:b/>
          <w:sz w:val="18"/>
        </w:rPr>
        <w:t>It is the intent of the parties that this indemnity be without regard to the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r>
        <w:rPr>
          <w:rFonts w:cs="Arial Narrow" w:ascii="Arial Narrow" w:hAnsi="Arial Narrow"/>
          <w:sz w:val="18"/>
        </w:rPr>
        <w:t xml:space="preserve">  Title to the gas scheduled hereunder shall pass from Seller to Buyer at the Delivery Point(s).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xml:space="preserve">") will be corrected or settled in cash or gas or by offset as the parties agree.  </w:t>
      </w:r>
    </w:p>
    <w:p>
      <w:pPr>
        <w:pStyle w:val="Normal"/>
        <w:jc w:val="both"/>
        <w:rPr/>
      </w:pPr>
      <w:r>
        <w:rPr>
          <w:rFonts w:cs="Arial Narrow" w:ascii="Arial Narrow" w:hAnsi="Arial Narrow"/>
          <w:b/>
          <w:sz w:val="18"/>
          <w:u w:val="single"/>
        </w:rPr>
        <w:t>10.  Arbitration.</w:t>
      </w:r>
      <w:r>
        <w:rPr>
          <w:rFonts w:cs="Arial Narrow" w:ascii="Arial Narrow" w:hAnsi="Arial Narrow"/>
          <w:sz w:val="18"/>
        </w:rPr>
        <w:t xml:space="preserve"> Any dispute relating to this Agreement shall be resolved by binding, self-administered arbitration pursuant to the Commercial Arbitration Rules of the </w:t>
      </w:r>
      <w:r>
        <w:rPr>
          <w:rFonts w:cs="Arial Narrow" w:ascii="Arial Narrow" w:hAnsi="Arial Narrow"/>
          <w:sz w:val="18"/>
          <w:u w:val="single"/>
        </w:rPr>
        <w:t>American Arbitration Association ("AAA")</w:t>
      </w:r>
      <w:r>
        <w:rPr>
          <w:rFonts w:cs="Arial Narrow" w:ascii="Arial Narrow" w:hAnsi="Arial Narrow"/>
          <w:sz w:val="18"/>
        </w:rPr>
        <w:t xml:space="preserve"> and all such proceedings shall be subject to the Federal Arbitration Act.  A single arbitrator shall be selected under the expedited rules of the AAA.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pPr>
      <w:r>
        <w:rPr>
          <w:rFonts w:cs="Arial Narrow" w:ascii="Arial Narrow" w:hAnsi="Arial Narrow"/>
          <w:b/>
          <w:sz w:val="18"/>
          <w:u w:val="single"/>
        </w:rPr>
        <w:t xml:space="preserve">11. </w:t>
      </w:r>
      <w:r>
        <w:rPr>
          <w:rFonts w:cs="Arial Narrow" w:ascii="Arial Narrow" w:hAnsi="Arial Narrow"/>
          <w:sz w:val="18"/>
          <w:u w:val="single"/>
        </w:rPr>
        <w:t xml:space="preserve"> </w:t>
      </w:r>
      <w:r>
        <w:rPr>
          <w:rFonts w:cs="Arial Narrow" w:ascii="Arial Narrow" w:hAnsi="Arial Narrow"/>
          <w:b/>
          <w:sz w:val="18"/>
          <w:u w:val="single"/>
        </w:rPr>
        <w:t>Damages/Law</w:t>
      </w:r>
      <w:r>
        <w:rPr>
          <w:rFonts w:cs="Arial Narrow" w:ascii="Arial Narrow" w:hAnsi="Arial Narrow"/>
          <w:sz w:val="18"/>
        </w:rPr>
        <w:t xml:space="preserve">.  </w:t>
      </w:r>
      <w:r>
        <w:rPr>
          <w:rFonts w:cs="Arial Narrow" w:ascii="Arial Narrow" w:hAnsi="Arial Narrow"/>
          <w:b/>
          <w:sz w:val="18"/>
        </w:rPr>
        <w:t>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Buyer acknowledges that it has entered into this agreement and is contracting for the goods to be supplied by Seller based solely upon the express representations and warranties herein and, subject thereto, accepts such goods "as-is" and "with all faults."  This Firm GTC, each transaction and the rights and duties of the parties arising herefrom shall be governed by the laws of the state of Texas.</w:t>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left" w:pos="4050" w:leader="none"/>
          <w:tab w:val="left" w:pos="5400" w:leader="none"/>
          <w:tab w:val="left" w:pos="7290" w:leader="none"/>
          <w:tab w:val="left" w:pos="9360" w:leader="none"/>
        </w:tabs>
        <w:jc w:val="both"/>
        <w:rPr>
          <w:rFonts w:ascii="Arial Narrow" w:hAnsi="Arial Narrow" w:cs="Arial Narrow"/>
          <w:caps/>
          <w:sz w:val="18"/>
        </w:rPr>
      </w:pPr>
      <w:r>
        <w:rPr>
          <w:rFonts w:cs="Arial Narrow" w:ascii="Arial Narrow" w:hAnsi="Arial Narrow"/>
          <w:caps/>
          <w:sz w:val="18"/>
        </w:rPr>
      </w:r>
    </w:p>
    <w:p>
      <w:pPr>
        <w:pStyle w:val="Normal"/>
        <w:jc w:val="both"/>
        <w:rPr>
          <w:rFonts w:ascii="Arial Narrow" w:hAnsi="Arial Narrow" w:cs="Arial Narrow"/>
          <w:b/>
          <w:caps/>
          <w:sz w:val="18"/>
        </w:rPr>
      </w:pPr>
      <w:r>
        <w:rPr>
          <w:rFonts w:cs="Arial Narrow" w:ascii="Arial Narrow" w:hAnsi="Arial Narrow"/>
          <w:b/>
          <w:caps/>
          <w:sz w:val="18"/>
        </w:rPr>
      </w:r>
    </w:p>
    <w:p>
      <w:pPr>
        <w:pStyle w:val="Normal"/>
        <w:jc w:val="center"/>
        <w:rPr>
          <w:rFonts w:ascii="Arial Narrow" w:hAnsi="Arial Narrow" w:cs="Arial Narrow"/>
          <w:b/>
          <w:sz w:val="18"/>
        </w:rPr>
      </w:pPr>
      <w:r>
        <w:rPr>
          <w:rFonts w:cs="Arial Narrow" w:ascii="Arial Narrow" w:hAnsi="Arial Narrow"/>
          <w:b/>
          <w:sz w:val="18"/>
        </w:rPr>
      </w:r>
    </w:p>
    <w:sectPr>
      <w:headerReference w:type="default" r:id="rId6"/>
      <w:headerReference w:type="first" r:id="rId7"/>
      <w:footerReference w:type="default" r:id="rId8"/>
      <w:footerReference w:type="first" r:id="rId9"/>
      <w:type w:val="nextPage"/>
      <w:pgSz w:w="12240" w:h="15840"/>
      <w:pgMar w:left="576" w:right="576" w:gutter="0" w:header="720" w:top="776" w:footer="720" w:bottom="776"/>
      <w:pgNumType w:start="1" w:fmt="decimal"/>
      <w:cols w:num="2" w:space="432" w:equalWidth="true" w:sep="false"/>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rFonts w:ascii="Times New Roman" w:hAnsi="Times New Roman" w:cs="Times New Roman"/>
        <w:sz w:val="18"/>
      </w:rPr>
    </w:pPr>
    <w:r>
      <w:rPr>
        <w:rFonts w:cs="Times New Roman" w:ascii="Times New Roman" w:hAnsi="Times New Roman"/>
        <w:sz w:val="18"/>
      </w:rPr>
    </w:r>
    <w:r>
      <mc:AlternateContent>
        <mc:Choice Requires="wps">
          <w:drawing>
            <wp:anchor behindDoc="0" distT="0" distB="0" distL="0" distR="0" simplePos="0" locked="0" layoutInCell="0" allowOverlap="1" relativeHeight="5">
              <wp:simplePos x="0" y="0"/>
              <wp:positionH relativeFrom="margin">
                <wp:align>center</wp:align>
              </wp:positionH>
              <wp:positionV relativeFrom="paragraph">
                <wp:posOffset>635</wp:posOffset>
              </wp:positionV>
              <wp:extent cx="57785" cy="131445"/>
              <wp:effectExtent l="0" t="0" r="0" b="0"/>
              <wp:wrapSquare wrapText="bothSides"/>
              <wp:docPr id="1" name="Frame1"/>
              <a:graphic xmlns:a="http://schemas.openxmlformats.org/drawingml/2006/main">
                <a:graphicData uri="http://schemas.microsoft.com/office/word/2010/wordprocessingShape">
                  <wps:wsp>
                    <wps:cNvSpPr txBox="1"/>
                    <wps:spPr>
                      <a:xfrm>
                        <a:off x="0" y="0"/>
                        <a:ext cx="57785" cy="131445"/>
                      </a:xfrm>
                      <a:prstGeom prst="rect"/>
                      <a:solidFill>
                        <a:srgbClr val="FFFFFF">
                          <a:alpha val="0"/>
                        </a:srgbClr>
                      </a:solidFill>
                    </wps:spPr>
                    <wps:txbx>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xbxContent>
                    </wps:txbx>
                    <wps:bodyPr anchor="t" lIns="0" tIns="0" rIns="0" bIns="0">
                      <a:noAutofit/>
                    </wps:bodyPr>
                  </wps:wsp>
                </a:graphicData>
              </a:graphic>
            </wp:anchor>
          </w:drawing>
        </mc:Choice>
        <mc:Fallback>
          <w:pict>
            <v:rect fillcolor="#FFFFFF" style="position:absolute;rotation:-0;width:4.55pt;height:10.35pt;mso-wrap-distance-left:0pt;mso-wrap-distance-right:0pt;mso-wrap-distance-top:0pt;mso-wrap-distance-bottom:0pt;margin-top:0.05pt;mso-position-vertical-relative:text;margin-left:231.75pt;mso-position-horizontal:center;mso-position-horizontal-relative:margin">
              <v:fill opacity="0f"/>
              <v:textbox inset="0in,0in,0in,0in">
                <w:txbxContent>
                  <w:p>
                    <w:pPr>
                      <w:pStyle w:val="Footer"/>
                      <w:rPr>
                        <w:rStyle w:val="PageNumber"/>
                      </w:rPr>
                    </w:pPr>
                    <w:r>
                      <w:rPr>
                        <w:rStyle w:val="PageNumber"/>
                        <w:sz w:val="18"/>
                      </w:rPr>
                      <w:fldChar w:fldCharType="begin"/>
                    </w:r>
                    <w:r>
                      <w:rPr>
                        <w:rStyle w:val="PageNumber"/>
                        <w:sz w:val="18"/>
                      </w:rPr>
                      <w:instrText xml:space="preserve"> PAGE </w:instrText>
                    </w:r>
                    <w:r>
                      <w:rPr>
                        <w:rStyle w:val="PageNumber"/>
                        <w:sz w:val="18"/>
                      </w:rPr>
                      <w:fldChar w:fldCharType="separate"/>
                    </w:r>
                    <w:r>
                      <w:rPr>
                        <w:rStyle w:val="PageNumber"/>
                        <w:sz w:val="18"/>
                      </w:rPr>
                      <w:t>3</w:t>
                    </w:r>
                    <w:r>
                      <w:rPr>
                        <w:rStyle w:val="PageNumber"/>
                        <w:sz w:val="18"/>
                      </w:rPr>
                      <w:fldChar w:fldCharType="end"/>
                    </w:r>
                  </w:p>
                </w:txbxContent>
              </v:textbox>
              <w10:wrap type="square"/>
            </v:rect>
          </w:pict>
        </mc:Fallback>
      </mc:AlternateContent>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/mnt/main-storage/datasets/enron-docs/doc/2001_013crfm.doc</w:t>
    </w:r>
    <w:r>
      <w:rPr>
        <w:sz w:val="12"/>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/mnt/main-storage/datasets/enron-docs/doc/2001_013crfm.doc</w:t>
    </w:r>
    <w:r>
      <w:rPr>
        <w:sz w:val="12"/>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/mnt/main-storage/datasets/enron-docs/doc/2001_013crfm.doc</w:t>
    </w:r>
    <w:r>
      <w:rPr>
        <w:sz w:val="12"/>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4"/>
      </w:rPr>
    </w:pPr>
    <w:r>
      <w:rPr>
        <w:rFonts w:cs="Times New Roman" w:ascii="Times New Roman" w:hAnsi="Times New Roman"/>
        <w:sz w:val="14"/>
      </w:rPr>
    </w:r>
  </w:p>
  <w:p>
    <w:pPr>
      <w:pStyle w:val="Footer"/>
      <w:rPr>
        <w:rFonts w:ascii="Times New Roman" w:hAnsi="Times New Roman" w:cs="Times New Roman"/>
        <w:sz w:val="12"/>
      </w:rPr>
    </w:pPr>
    <w:r>
      <w:rPr>
        <w:rFonts w:cs="Times New Roman" w:ascii="Times New Roman" w:hAnsi="Times New Roman"/>
        <w:sz w:val="12"/>
      </w:rPr>
      <w:fldChar w:fldCharType="begin"/>
    </w:r>
    <w:r>
      <w:rPr>
        <w:sz w:val="12"/>
        <w:rFonts w:cs="Times New Roman" w:ascii="Times New Roman" w:hAnsi="Times New Roman"/>
      </w:rPr>
      <w:instrText xml:space="preserve"> FILENAME \p </w:instrText>
    </w:r>
    <w:r>
      <w:rPr>
        <w:sz w:val="12"/>
        <w:rFonts w:cs="Times New Roman" w:ascii="Times New Roman" w:hAnsi="Times New Roman"/>
      </w:rPr>
      <w:fldChar w:fldCharType="separate"/>
    </w:r>
    <w:r>
      <w:rPr>
        <w:sz w:val="12"/>
        <w:rFonts w:cs="Times New Roman" w:ascii="Times New Roman" w:hAnsi="Times New Roman"/>
      </w:rPr>
      <w:t>/mnt/main-storage/datasets/enron-docs/doc/2001_013crfm.doc</w:t>
    </w:r>
    <w:r>
      <w:rPr>
        <w:sz w:val="12"/>
        <w:rFonts w:cs="Times New Roman" w:ascii="Times New Roman" w:hAnsi="Times New Roman"/>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Mesa, City of</w:t>
    </w:r>
  </w:p>
  <w:p>
    <w:pPr>
      <w:pStyle w:val="Header"/>
      <w:rPr>
        <w:rFonts w:ascii="Times New Roman" w:hAnsi="Times New Roman" w:cs="Times New Roman"/>
        <w:sz w:val="22"/>
      </w:rPr>
    </w:pPr>
    <w:r>
      <w:rPr>
        <w:rFonts w:cs="Times New Roman" w:ascii="Times New Roman" w:hAnsi="Times New Roman"/>
        <w:sz w:val="22"/>
      </w:rPr>
      <w:t>January 26, 2001</w:t>
    </w:r>
  </w:p>
  <w:p>
    <w:pPr>
      <w:pStyle w:val="Header"/>
      <w:rPr>
        <w:rStyle w:val="PageNumber"/>
        <w:rFonts w:ascii="Times New Roman" w:hAnsi="Times New Roman" w:cs="Times New Roman"/>
        <w:sz w:val="22"/>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3</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bookmarkStart w:id="0" w:name="_1003232679"/>
          <w:bookmarkEnd w:id="0"/>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2118443831"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Mesa, City of</w:t>
    </w:r>
  </w:p>
  <w:p>
    <w:pPr>
      <w:pStyle w:val="Header"/>
      <w:rPr>
        <w:rFonts w:ascii="Times New Roman" w:hAnsi="Times New Roman" w:cs="Times New Roman"/>
        <w:sz w:val="22"/>
      </w:rPr>
    </w:pPr>
    <w:r>
      <w:rPr>
        <w:rFonts w:cs="Times New Roman" w:ascii="Times New Roman" w:hAnsi="Times New Roman"/>
        <w:sz w:val="22"/>
      </w:rPr>
      <w:t>January 26, 2001</w:t>
    </w:r>
  </w:p>
  <w:p>
    <w:pPr>
      <w:pStyle w:val="Header"/>
      <w:rPr/>
    </w:pPr>
    <w:r>
      <w:rPr>
        <w:rFonts w:cs="Times New Roman" w:ascii="Times New Roman" w:hAnsi="Times New Roman"/>
        <w:sz w:val="22"/>
      </w:rPr>
      <w:t xml:space="preserve">Page </w:t>
    </w:r>
    <w:r>
      <w:rPr>
        <w:rStyle w:val="PageNumber"/>
        <w:rFonts w:cs="Times New Roman" w:ascii="Times New Roman" w:hAnsi="Times New Roman"/>
        <w:sz w:val="22"/>
      </w:rPr>
      <w:fldChar w:fldCharType="begin"/>
    </w:r>
    <w:r>
      <w:rPr>
        <w:rStyle w:val="PageNumber"/>
        <w:sz w:val="22"/>
        <w:rFonts w:cs="Times New Roman" w:ascii="Times New Roman" w:hAnsi="Times New Roman"/>
      </w:rPr>
      <w:instrText xml:space="preserve"> PAGE </w:instrText>
    </w:r>
    <w:r>
      <w:rPr>
        <w:rStyle w:val="PageNumber"/>
        <w:sz w:val="22"/>
        <w:rFonts w:cs="Times New Roman" w:ascii="Times New Roman" w:hAnsi="Times New Roman"/>
      </w:rPr>
      <w:fldChar w:fldCharType="separate"/>
    </w:r>
    <w:r>
      <w:rPr>
        <w:rStyle w:val="PageNumber"/>
        <w:sz w:val="22"/>
        <w:rFonts w:cs="Times New Roman" w:ascii="Times New Roman" w:hAnsi="Times New Roman"/>
      </w:rPr>
      <w:t>3</w:t>
    </w:r>
    <w:r>
      <w:rPr>
        <w:rStyle w:val="PageNumber"/>
        <w:sz w:val="22"/>
        <w:rFonts w:cs="Times New Roman" w:ascii="Times New Roman" w:hAnsi="Times New Roman"/>
      </w:rPr>
      <w:fldChar w:fldCharType="end"/>
    </w:r>
  </w:p>
  <w:p>
    <w:pPr>
      <w:pStyle w:val="Header"/>
      <w:rPr>
        <w:rStyle w:val="PageNumber"/>
        <w:rFonts w:ascii="Times New Roman" w:hAnsi="Times New Roman" w:cs="Times New Roman"/>
        <w:sz w:val="22"/>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202" w:type="dxa"/>
      <w:jc w:val="start"/>
      <w:tblInd w:w="0" w:type="dxa"/>
      <w:tblLayout w:type="fixed"/>
      <w:tblCellMar>
        <w:top w:w="0" w:type="dxa"/>
        <w:start w:w="108" w:type="dxa"/>
        <w:bottom w:w="0" w:type="dxa"/>
        <w:end w:w="108" w:type="dxa"/>
      </w:tblCellMar>
    </w:tblPr>
    <w:tblGrid>
      <w:gridCol w:w="4601"/>
      <w:gridCol w:w="4601"/>
    </w:tblGrid>
    <w:tr>
      <w:trPr/>
      <w:tc>
        <w:tcPr>
          <w:tcW w:w="4601" w:type="dxa"/>
          <w:tcBorders/>
        </w:tcPr>
        <w:p>
          <w:pPr>
            <w:pStyle w:val="Header"/>
            <w:rPr/>
          </w:pPr>
          <w:r>
            <w:rPr/>
            <w:object w:dxaOrig="1591" w:dyaOrig="1575">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width:79.55pt;height:78.75pt" filled="f" o:ole="">
                <v:imagedata r:id="rId2" o:title=""/>
              </v:shape>
              <o:OLEObject Type="Embed" ProgID="" ShapeID="ole_rId1" DrawAspect="Content" ObjectID="_802845260" r:id="rId1"/>
            </w:object>
          </w:r>
        </w:p>
      </w:tc>
      <w:tc>
        <w:tcPr>
          <w:tcW w:w="4601" w:type="dxa"/>
          <w:tcBorders/>
        </w:tcPr>
        <w:p>
          <w:pPr>
            <w:pStyle w:val="Header"/>
            <w:snapToGrid w:val="false"/>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tc>
    </w:tr>
  </w:tbl>
  <w:p>
    <w:pPr>
      <w:pStyle w:val="Header"/>
      <w:rPr>
        <w:rStyle w:val="PageNumber"/>
        <w:rFonts w:ascii="Times New Roman" w:hAnsi="Times New Roman" w:cs="Times New Roman"/>
        <w:sz w:val="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2"/>
      <w:szCs w:val="20"/>
      <w:lang w:val="en-US" w:bidi="ar-SA" w:eastAsia="zh-CN"/>
    </w:rPr>
  </w:style>
  <w:style w:type="paragraph" w:styleId="Heading1">
    <w:name w:val="heading 1"/>
    <w:basedOn w:val="Normal"/>
    <w:next w:val="Normal"/>
    <w:qFormat/>
    <w:pPr>
      <w:keepNext w:val="true"/>
      <w:numPr>
        <w:ilvl w:val="0"/>
        <w:numId w:val="1"/>
      </w:numPr>
      <w:jc w:val="center"/>
      <w:outlineLvl w:val="0"/>
    </w:pPr>
    <w:rPr>
      <w:u w:val="singl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center"/>
    </w:pPr>
    <w:rPr>
      <w:b/>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Footer">
    <w:name w:val="footer"/>
    <w:basedOn w:val="Normal"/>
    <w:pPr>
      <w:tabs>
        <w:tab w:val="clear" w:pos="720"/>
        <w:tab w:val="center" w:pos="4320" w:leader="none"/>
        <w:tab w:val="right" w:pos="8640" w:leader="none"/>
      </w:tabs>
    </w:pPr>
    <w:rPr>
      <w:rFonts w:ascii="Tms Rmn;Times New Roman" w:hAnsi="Tms Rmn;Times New Roman" w:cs="Tms Rmn;Times New Roman"/>
      <w:sz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wmf"/>
</Relationships>
</file>

<file path=word/_rels/header4.xml.rels><?xml version="1.0" encoding="UTF-8"?>
<Relationships xmlns="http://schemas.openxmlformats.org/package/2006/relationships"><Relationship Id="rId1" Type="http://schemas.openxmlformats.org/officeDocument/2006/relationships/oleObject" Target="embeddings/oleObject2.bin"/><Relationship Id="rId2"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2001-01-24T18:04:00Z</dcterms:created>
  <dc:creator>Daniel J. Hyvl</dc:creator>
  <dc:description/>
  <dc:language>en-CA</dc:language>
  <cp:lastModifiedBy>dhyvl</cp:lastModifiedBy>
  <cp:lastPrinted>2001-01-24T15:27:00Z</cp:lastPrinted>
  <dcterms:modified xsi:type="dcterms:W3CDTF">2001-01-24T19:08:00Z</dcterms:modified>
  <cp:revision>10</cp:revision>
  <dc:subject/>
  <dc:title>November 5, 1999</dc:title>
</cp:coreProperties>
</file>