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t>January 31,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BlockText"/>
              <w:snapToGrid w:val="false"/>
              <w:ind w:end="144"/>
              <w:rPr>
                <w:b/>
              </w:rPr>
            </w:pPr>
            <w:r>
              <w:rPr>
                <w:b/>
              </w:rPr>
            </w:r>
          </w:p>
          <w:p>
            <w:pPr>
              <w:pStyle w:val="BlockText"/>
              <w:ind w:end="144"/>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BlockText"/>
              <w:ind w:end="144"/>
              <w:rPr/>
            </w:pPr>
            <w:r>
              <w:rPr/>
            </w:r>
          </w:p>
          <w:p>
            <w:pPr>
              <w:pStyle w:val="BlockText"/>
              <w:ind w:end="144"/>
              <w:rPr/>
            </w:pPr>
            <w:r>
              <w:rPr/>
              <w:t xml:space="preserve">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the Transco pipeline system.  To the extent that Customer directs Company to so acquire such excess volumes, such request shall be made not less than 24 hours prior to 9:00 a.m. and Customer shall reimburse Company for any costs incurred by Company in so acquiring such excess volumes. </w:t>
            </w:r>
          </w:p>
          <w:p>
            <w:pPr>
              <w:pStyle w:val="BlockText"/>
              <w:ind w:end="144"/>
              <w:rPr/>
            </w:pPr>
            <w:r>
              <w:rPr/>
            </w:r>
          </w:p>
          <w:p>
            <w:pPr>
              <w:pStyle w:val="BlockText"/>
              <w:ind w:end="144"/>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#1020 located at Customer’s Evadale Plant in Jasper County, Texas.  Volumes in excess of the MaxDQ may be delivered through the Transco meter to the Evadale Plant for those periods when Customer request Company to provide gas in excess of the MinDQ.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DCQ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In the event Customer purchases and receives any volumes in excess of the DCQ on any day during a month, the price per MMBtu for such volumes in excess of the DCQ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DCQ on any day during a month, Company shall purchase the difference between the DCQ and the amount purchased and received by Customer for such day at a price per MMBtu equal to the “Spot Price (Common Low)” set forth in </w:t>
            </w:r>
            <w:r>
              <w:rPr>
                <w:u w:val="single"/>
              </w:rPr>
              <w:t>Gas Daily</w:t>
            </w:r>
            <w:r>
              <w:rPr/>
              <w:t xml:space="preserve"> (Financial Energy Times) or successor publication, in the column “Daily Price Survey” under the column “East-Houston-Katy, Houston Ship Channel” as reported for such day , minus $0.05 per MMBtu.</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b/>
              </w:rPr>
            </w:pPr>
            <w:r>
              <w:rPr>
                <w:b/>
              </w:rPr>
              <w:t>NOTICE AND COMMUNICATION TO COMPANY, AS 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0"/>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BodyText"/>
        <w:widowControl/>
        <w:rPr/>
      </w:pPr>
      <w:r>
        <w:rPr/>
        <w:t xml:space="preserve">Please confirm that the terms stated herein accurately reflect the agreement reached between Buyer and Seller by returning an executed copy of this letter to Seller.  </w:t>
      </w:r>
    </w:p>
    <w:p>
      <w:pPr>
        <w:pStyle w:val="BodyText"/>
        <w:widowControl/>
        <w:rPr/>
      </w:pPr>
      <w:r>
        <w:rPr/>
      </w:r>
    </w:p>
    <w:p>
      <w:pPr>
        <w:pStyle w:val="BodyTextIndent"/>
        <w:rPr>
          <w:b w:val="false"/>
        </w:rPr>
      </w:pPr>
      <w:r>
        <w:rPr/>
        <w:t>HOUSTON PIPE LINE COMPANY</w:t>
        <w:tab/>
        <w:t>WESTVACO CORPORATION</w:t>
      </w:r>
    </w:p>
    <w:p>
      <w:pPr>
        <w:pStyle w:val="Normal"/>
        <w:rPr>
          <w:b/>
        </w:rPr>
      </w:pPr>
      <w:r>
        <w:rPr>
          <w:b/>
        </w:rPr>
      </w:r>
    </w:p>
    <w:p>
      <w:pPr>
        <w:pStyle w:val="Normal"/>
        <w:rPr>
          <w:b/>
        </w:rPr>
      </w:pPr>
      <w:r>
        <w:rPr>
          <w:b/>
        </w:rPr>
      </w:r>
    </w:p>
    <w:p>
      <w:pPr>
        <w:pStyle w:val="Normal"/>
        <w:rPr/>
      </w:pPr>
      <w:r>
        <w:rPr/>
        <w:t>By:____________________________________</w:t>
        <w:tab/>
        <w:tab/>
        <w:t>By: 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/mnt/main-storage/datasets/enron-docs/doc/2001_012acrfm.doc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/mnt/main-storage/datasets/enron-docs/doc/2001_012acrfm.doc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January 31,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807538531"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BodyTextIndent">
    <w:name w:val="Body Text Indent"/>
    <w:basedOn w:val="Normal"/>
    <w:pPr>
      <w:ind w:hanging="5040" w:start="504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2001-01-22T17:26:00Z</dcterms:created>
  <dc:creator>jhelton</dc:creator>
  <dc:description/>
  <dc:language>en-CA</dc:language>
  <cp:lastModifiedBy>dhyvl</cp:lastModifiedBy>
  <cp:lastPrinted>2001-01-31T13:53:00Z</cp:lastPrinted>
  <dcterms:modified xsi:type="dcterms:W3CDTF">2001-01-31T17:36:00Z</dcterms:modified>
  <cp:revision>14</cp:revision>
  <dc:subject/>
  <dc:title>January 22, 2001</dc:title>
</cp:coreProperties>
</file>