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BACK-TO-BACK AGREEMENT</w:t>
      </w:r>
    </w:p>
    <w:p>
      <w:pPr>
        <w:pStyle w:val="Normal"/>
        <w:tabs>
          <w:tab w:val="clear" w:pos="720"/>
          <w:tab w:val="left" w:pos="614" w:leader="none"/>
          <w:tab w:val="right" w:pos="3880" w:leader="none"/>
        </w:tabs>
        <w:jc w:val="both"/>
        <w:rPr>
          <w:b/>
          <w:bCs/>
          <w:iCs/>
          <w:sz w:val="20"/>
        </w:rPr>
      </w:pPr>
      <w:r>
        <w:rPr>
          <w:b/>
          <w:bCs/>
          <w:iCs/>
          <w:sz w:val="20"/>
        </w:rPr>
      </w:r>
    </w:p>
    <w:p>
      <w:pPr>
        <w:pStyle w:val="BodyText"/>
        <w:rPr/>
      </w:pPr>
      <w:r>
        <w:rPr>
          <w:sz w:val="20"/>
        </w:rPr>
        <w:tab/>
        <w:t>This Back-To-Back Agreement (this “</w:t>
      </w:r>
      <w:r>
        <w:rPr>
          <w:i/>
          <w:iCs w:val="false"/>
          <w:sz w:val="20"/>
        </w:rPr>
        <w:t>Agreement</w:t>
      </w:r>
      <w:r>
        <w:rPr>
          <w:sz w:val="20"/>
        </w:rPr>
        <w:t xml:space="preserve">”) is entered into effective as of May 31, 2001 (the “Effective Date”) and is made by and between </w:t>
      </w:r>
      <w:r>
        <w:rPr>
          <w:b/>
          <w:bCs/>
          <w:sz w:val="20"/>
        </w:rPr>
        <w:t>HOUSTON PIPE LINE COMPANY</w:t>
      </w:r>
      <w:r>
        <w:rPr>
          <w:sz w:val="20"/>
        </w:rPr>
        <w:t>, a Delaware corporation (“</w:t>
      </w:r>
      <w:r>
        <w:rPr>
          <w:i/>
          <w:iCs w:val="false"/>
          <w:sz w:val="20"/>
        </w:rPr>
        <w:t>HPL</w:t>
      </w:r>
      <w:r>
        <w:rPr>
          <w:sz w:val="20"/>
        </w:rPr>
        <w:t xml:space="preserve">”),) and </w:t>
      </w:r>
      <w:r>
        <w:rPr>
          <w:b/>
          <w:bCs/>
          <w:sz w:val="20"/>
        </w:rPr>
        <w:t>ENRON NORTH AMERICA CORP</w:t>
      </w:r>
      <w:r>
        <w:rPr>
          <w:sz w:val="20"/>
        </w:rPr>
        <w:t>., a Delaware corporation (the “</w:t>
      </w:r>
      <w:r>
        <w:rPr>
          <w:i/>
          <w:iCs w:val="false"/>
          <w:sz w:val="20"/>
        </w:rPr>
        <w:t>ENA</w:t>
      </w:r>
      <w:r>
        <w:rPr>
          <w:sz w:val="20"/>
        </w:rPr>
        <w:t>”).  HPL and ENA may be referred to herein individually as a “Party” or collectively as the “Parties”.</w:t>
      </w:r>
    </w:p>
    <w:p>
      <w:pPr>
        <w:pStyle w:val="BodyText"/>
        <w:spacing w:before="120" w:after="0"/>
        <w:jc w:val="center"/>
        <w:rPr>
          <w:b/>
          <w:bCs/>
          <w:sz w:val="20"/>
          <w:u w:val="single"/>
        </w:rPr>
      </w:pPr>
      <w:r>
        <w:rPr>
          <w:b/>
          <w:bCs/>
          <w:sz w:val="20"/>
          <w:u w:val="single"/>
        </w:rPr>
        <w:t>RECITALS</w:t>
      </w:r>
    </w:p>
    <w:p>
      <w:pPr>
        <w:pStyle w:val="BodyText"/>
        <w:spacing w:before="120" w:after="0"/>
        <w:rPr/>
      </w:pPr>
      <w:r>
        <w:rPr>
          <w:sz w:val="20"/>
        </w:rPr>
        <w:tab/>
        <w:tab/>
      </w:r>
      <w:r>
        <w:rPr>
          <w:b/>
          <w:bCs/>
          <w:sz w:val="20"/>
        </w:rPr>
        <w:t>WHEREAS</w:t>
      </w:r>
      <w:r>
        <w:rPr>
          <w:sz w:val="20"/>
        </w:rPr>
        <w:t>, ENA is a party to a certain Base Contract for Short-Term Sale and Purchase of Natural Gas dated as of June 11, 1999, including any transactions applicable thereunder, (the “Contract”) with Guadalupe Power Partners, L.P. (“GPP”) relating to the purchase and/or sale of natural gas within the State of Texas;</w:t>
      </w:r>
    </w:p>
    <w:p>
      <w:pPr>
        <w:pStyle w:val="BodyText"/>
        <w:spacing w:before="120" w:after="0"/>
        <w:rPr/>
      </w:pPr>
      <w:r>
        <w:rPr>
          <w:sz w:val="20"/>
        </w:rPr>
        <w:tab/>
        <w:tab/>
      </w:r>
      <w:r>
        <w:rPr>
          <w:b/>
          <w:bCs/>
          <w:sz w:val="20"/>
        </w:rPr>
        <w:t>WHEREAS</w:t>
      </w:r>
      <w:r>
        <w:rPr>
          <w:sz w:val="20"/>
        </w:rPr>
        <w:t>, in connection with the sale of HPL by Enron Corp. to AEP Energy Services Gas Holding Company (“AEP”), pursuant to that certain Purchase and Sale Agreement dated December 27, 2000 between Enron Corp. and AEP (the”PSA”) ENA has agreed that such Contract will be transferred to HPL;</w:t>
      </w:r>
    </w:p>
    <w:p>
      <w:pPr>
        <w:pStyle w:val="BodyText"/>
        <w:spacing w:before="120" w:after="0"/>
        <w:rPr/>
      </w:pPr>
      <w:r>
        <w:rPr>
          <w:sz w:val="20"/>
        </w:rPr>
        <w:tab/>
      </w:r>
      <w:r>
        <w:rPr>
          <w:b/>
          <w:bCs/>
          <w:sz w:val="20"/>
        </w:rPr>
        <w:t>WHEREAS</w:t>
      </w:r>
      <w:r>
        <w:rPr>
          <w:sz w:val="20"/>
        </w:rPr>
        <w:t xml:space="preserve">, it is the intent of the Parties that ENA will Transfer to HPL all of ENA’s rights, titles and interests in, to and under the Contract but such Transfer of the Contract is subject to the consent of GPP, which consent has not yet been obtained; </w:t>
      </w:r>
    </w:p>
    <w:p>
      <w:pPr>
        <w:pStyle w:val="BodyText"/>
        <w:spacing w:before="120" w:after="0"/>
        <w:rPr/>
      </w:pPr>
      <w:r>
        <w:rPr>
          <w:sz w:val="20"/>
        </w:rPr>
        <w:tab/>
      </w:r>
      <w:r>
        <w:rPr>
          <w:b/>
          <w:bCs/>
          <w:sz w:val="20"/>
        </w:rPr>
        <w:t>WHEREAS</w:t>
      </w:r>
      <w:r>
        <w:rPr>
          <w:sz w:val="20"/>
        </w:rPr>
        <w:t>, the Parties have agreed that the Contract will not be transferred to HPL until such consent is obtained, but as between the Parties, all rights, duties, obligations and risks shall be allocated to the same extent “as if” such consent had been obtained and the Contract had been assigned;</w:t>
      </w:r>
    </w:p>
    <w:p>
      <w:pPr>
        <w:pStyle w:val="BodyText"/>
        <w:spacing w:before="120" w:after="0"/>
        <w:rPr/>
      </w:pPr>
      <w:r>
        <w:rPr>
          <w:sz w:val="20"/>
        </w:rPr>
        <w:tab/>
      </w:r>
      <w:r>
        <w:rPr>
          <w:b/>
          <w:bCs/>
          <w:sz w:val="20"/>
        </w:rPr>
        <w:t>NOW</w:t>
      </w:r>
      <w:r>
        <w:rPr>
          <w:sz w:val="20"/>
        </w:rPr>
        <w:t xml:space="preserve">, </w:t>
      </w:r>
      <w:r>
        <w:rPr>
          <w:b/>
          <w:bCs/>
          <w:sz w:val="20"/>
        </w:rPr>
        <w:t>THEREFORE</w:t>
      </w:r>
      <w:r>
        <w:rPr>
          <w:sz w:val="20"/>
        </w:rPr>
        <w:t>, in consideration of the mutual covenants, representations, warranties and agreements hereinafter set forth, and intending to be legally bound, the Parties agree as follows:</w:t>
      </w:r>
    </w:p>
    <w:p>
      <w:pPr>
        <w:pStyle w:val="BodyText"/>
        <w:spacing w:before="120" w:after="0"/>
        <w:jc w:val="center"/>
        <w:rPr>
          <w:sz w:val="20"/>
        </w:rPr>
      </w:pPr>
      <w:r>
        <w:rPr>
          <w:b/>
          <w:bCs/>
          <w:sz w:val="20"/>
          <w:u w:val="single"/>
        </w:rPr>
        <w:t>AGREEMENTS</w:t>
      </w:r>
    </w:p>
    <w:p>
      <w:pPr>
        <w:pStyle w:val="BodyText"/>
        <w:numPr>
          <w:ilvl w:val="0"/>
          <w:numId w:val="2"/>
        </w:numPr>
        <w:spacing w:before="120" w:after="0"/>
        <w:rPr>
          <w:b/>
          <w:bCs/>
          <w:i/>
          <w:i/>
          <w:iCs w:val="false"/>
          <w:sz w:val="20"/>
        </w:rPr>
      </w:pPr>
      <w:r>
        <w:rPr>
          <w:b/>
          <w:bCs/>
          <w:i/>
          <w:iCs w:val="false"/>
          <w:sz w:val="20"/>
        </w:rPr>
        <w:t>Purchase and Sale Commitments</w:t>
      </w:r>
    </w:p>
    <w:p>
      <w:pPr>
        <w:pStyle w:val="Normal"/>
        <w:tabs>
          <w:tab w:val="left" w:pos="720" w:leader="none"/>
          <w:tab w:val="left" w:pos="1440" w:leader="none"/>
          <w:tab w:val="right" w:pos="8412" w:leader="none"/>
        </w:tabs>
        <w:spacing w:before="120" w:after="0"/>
        <w:ind w:start="720" w:end="0"/>
        <w:jc w:val="both"/>
        <w:rPr/>
      </w:pPr>
      <w:r>
        <w:rPr/>
        <w:t>1.1</w:t>
        <w:tab/>
        <w:tab/>
        <w:t>Commencing as of the Effective Date, HPL shall sell to ENA and ENA shall buy from HPL, all natural gas ("</w:t>
      </w:r>
      <w:r>
        <w:rPr>
          <w:i/>
          <w:iCs/>
        </w:rPr>
        <w:t>Natural Gas</w:t>
      </w:r>
      <w:r>
        <w:rPr/>
        <w:t>") necessary for ENA to perform its obligations accruing on and after that date under the Contract pursuant to terms and conditions which are identical to those of the Contract.</w:t>
      </w:r>
    </w:p>
    <w:p>
      <w:pPr>
        <w:pStyle w:val="Normal"/>
        <w:tabs>
          <w:tab w:val="left" w:pos="720" w:leader="none"/>
          <w:tab w:val="left" w:pos="1440" w:leader="none"/>
          <w:tab w:val="right" w:pos="8412" w:leader="none"/>
        </w:tabs>
        <w:spacing w:before="120" w:after="0"/>
        <w:ind w:start="720" w:end="0"/>
        <w:jc w:val="both"/>
        <w:rPr/>
      </w:pPr>
      <w:r>
        <w:rPr/>
        <w:t>1.2</w:t>
        <w:tab/>
        <w:t>Commencing as of the Effective Date, and in consideration of HPL’s undertakings hereunder, ENA shall pay to HPL all amounts received by ENA pursuant to the Contract for Natural Gas deliveries made by ENA to GPP under the Contact following the Effective Date.  The payments by ENA (or by GPP for the account of ENA) hereunder shall be the sole compensation payable to HPL for the Natural Gas provided pursuant to this Section 1.</w:t>
      </w:r>
    </w:p>
    <w:p>
      <w:pPr>
        <w:pStyle w:val="Normal"/>
        <w:tabs>
          <w:tab w:val="left" w:pos="720" w:leader="none"/>
          <w:tab w:val="left" w:pos="1440" w:leader="none"/>
          <w:tab w:val="right" w:pos="8412" w:leader="none"/>
        </w:tabs>
        <w:spacing w:before="120" w:after="0"/>
        <w:ind w:start="720" w:end="0"/>
        <w:jc w:val="both"/>
        <w:rPr>
          <w:rFonts w:ascii="Garamond" w:hAnsi="Garamond" w:cs="Garamond"/>
        </w:rPr>
      </w:pPr>
      <w:r>
        <w:rPr/>
        <w:t>1.3</w:t>
        <w:tab/>
        <w:t xml:space="preserve">If HPL fails to deliver on a timely basis to ENA in accordance with this Agreement any amount of Natural Gas required to be delivered by ENA to GPP pursuant to the Contract, ENA shall have no obligation to HPL to make substitute arrangements in order to perform under the Contract, and HPL shall be liable to ENA for, and shall indemnify and hold harmless ENA from and against, the full amount of any penalties, liquidated damages or other damages by reason of GPP’s claim of breach or default under the Contract; it being expressly understood and agreed by HPL that ENA’s sole ability and obligation to service the Contact is based upon and subject to HPL’s commitments set forth in this Agreement. </w:t>
      </w:r>
    </w:p>
    <w:p>
      <w:pPr>
        <w:pStyle w:val="Normal"/>
        <w:tabs>
          <w:tab w:val="left" w:pos="720" w:leader="none"/>
          <w:tab w:val="left" w:pos="1440" w:leader="none"/>
          <w:tab w:val="right" w:pos="8412" w:leader="none"/>
        </w:tabs>
        <w:spacing w:before="120" w:after="0"/>
        <w:ind w:start="720" w:end="0"/>
        <w:jc w:val="both"/>
        <w:rPr>
          <w:rFonts w:ascii="Garamond" w:hAnsi="Garamond" w:cs="Garamond"/>
        </w:rPr>
      </w:pPr>
      <w:r>
        <w:rPr/>
        <w:t>1.4</w:t>
        <w:tab/>
        <w:t>To the extent permissible under the Contact, ENA shall take such actions or refrain from taking such actions under the Contact as directed from time to time by HPL.</w:t>
      </w:r>
    </w:p>
    <w:p>
      <w:pPr>
        <w:pStyle w:val="Normal"/>
        <w:numPr>
          <w:ilvl w:val="0"/>
          <w:numId w:val="2"/>
        </w:numPr>
        <w:tabs>
          <w:tab w:val="clear" w:pos="720"/>
          <w:tab w:val="left" w:pos="622" w:leader="none"/>
          <w:tab w:val="right" w:pos="4123" w:leader="none"/>
        </w:tabs>
        <w:spacing w:before="120" w:after="0"/>
        <w:jc w:val="both"/>
        <w:rPr>
          <w:b/>
          <w:bCs/>
          <w:i/>
          <w:i/>
          <w:iCs/>
        </w:rPr>
      </w:pPr>
      <w:r>
        <w:rPr>
          <w:b/>
          <w:bCs/>
          <w:i/>
          <w:iCs/>
        </w:rPr>
        <w:t>Administration of Contract</w:t>
      </w:r>
    </w:p>
    <w:p>
      <w:pPr>
        <w:pStyle w:val="Normal"/>
        <w:tabs>
          <w:tab w:val="clear" w:pos="720"/>
          <w:tab w:val="left" w:pos="1440" w:leader="none"/>
          <w:tab w:val="left" w:pos="2160" w:leader="none"/>
          <w:tab w:val="right" w:pos="4123" w:leader="none"/>
        </w:tabs>
        <w:spacing w:before="120" w:after="0"/>
        <w:ind w:start="720" w:end="0"/>
        <w:jc w:val="both"/>
        <w:rPr/>
      </w:pPr>
      <w:r>
        <w:rPr>
          <w:iCs/>
        </w:rPr>
        <w:t>2.1</w:t>
        <w:tab/>
        <w:t xml:space="preserve">As </w:t>
      </w:r>
      <w:r>
        <w:rPr/>
        <w:t>of the Effective Date, HPL shall assume responsibility for taking all actions that ENA may or must otherwise lawfully take under the Contract, and may or shall, as the case may be, take such actions, without ENA giving its approval thereof.  HPL may request ENA to seek amendments to the Contract, for whatever reason, and ENA shall not unreasonably refuse to seek such amendments as HPL may request; provided HPL shall be responsible for all consequences of such amendments.  ENA hereby agrees to provide HPL reasonable access to (including copies of) all information that ENA now has or hereafter acquires or to which it is entitled with respect to the Contract (to the extent permissible under the Contract).  It is the intent of the Parties that HPL shall have all of the benefits, rights, risks and obligations regarding the Contract as if such Contract were assigned to and assumed by HPL.</w:t>
      </w:r>
    </w:p>
    <w:p>
      <w:pPr>
        <w:pStyle w:val="Normal"/>
        <w:tabs>
          <w:tab w:val="clear" w:pos="720"/>
          <w:tab w:val="left" w:pos="1440" w:leader="none"/>
          <w:tab w:val="left" w:pos="2160" w:leader="none"/>
          <w:tab w:val="right" w:pos="4123" w:leader="none"/>
        </w:tabs>
        <w:spacing w:before="120" w:after="0"/>
        <w:ind w:start="720" w:end="0"/>
        <w:jc w:val="both"/>
        <w:rPr/>
      </w:pPr>
      <w:r>
        <w:rPr/>
        <w:t>2.2</w:t>
        <w:tab/>
        <w:t xml:space="preserve">HPL also shall take such actions with respect to the Contract that are necessary for HPL to fulfill its responsibilities, including, without limitation, scheduling all deliveries of Natural Gas that are required under the Contract.  ENA agrees to notify GPP that until the Contract is assigned to HPL, HPL will be the party scheduling, rendering statements, and receiving payments for Natural Gas provided under the Contract on behalf of ENA. </w:t>
      </w:r>
    </w:p>
    <w:p>
      <w:pPr>
        <w:pStyle w:val="Normal"/>
        <w:tabs>
          <w:tab w:val="clear" w:pos="720"/>
          <w:tab w:val="left" w:pos="1440" w:leader="none"/>
          <w:tab w:val="left" w:pos="2160" w:leader="none"/>
          <w:tab w:val="right" w:pos="4123" w:leader="none"/>
        </w:tabs>
        <w:spacing w:before="120" w:after="0"/>
        <w:ind w:start="720" w:end="0"/>
        <w:jc w:val="both"/>
        <w:rPr/>
      </w:pPr>
      <w:r>
        <w:rPr/>
        <w:t>2.3</w:t>
        <w:tab/>
        <w:t>HPL shall act as an independent contractor and not as ENA’s agent in HPL’s exercise of its rights and performance of its responsibilities and obligations under this Agreement, and other than as specifically set forth herein HPL shall have no right, authority or power to obligate or bind ENA in any manner under the Contract.</w:t>
      </w:r>
    </w:p>
    <w:p>
      <w:pPr>
        <w:pStyle w:val="Normal"/>
        <w:tabs>
          <w:tab w:val="left" w:pos="720" w:leader="none"/>
          <w:tab w:val="left" w:pos="1440" w:leader="none"/>
          <w:tab w:val="right" w:pos="4123" w:leader="none"/>
        </w:tabs>
        <w:spacing w:before="120" w:after="0"/>
        <w:ind w:start="720" w:end="0"/>
        <w:jc w:val="both"/>
        <w:rPr/>
      </w:pPr>
      <w:r>
        <w:rPr/>
        <w:t>2.4</w:t>
        <w:tab/>
        <w:t>ENA shall not take any actions with respect to and inconsistent with the foregoing provisions of Section 2.</w:t>
      </w:r>
    </w:p>
    <w:p>
      <w:pPr>
        <w:pStyle w:val="Normal"/>
        <w:numPr>
          <w:ilvl w:val="0"/>
          <w:numId w:val="2"/>
        </w:numPr>
        <w:tabs>
          <w:tab w:val="clear" w:pos="720"/>
          <w:tab w:val="left" w:pos="622" w:leader="none"/>
          <w:tab w:val="right" w:pos="4123" w:leader="none"/>
        </w:tabs>
        <w:spacing w:before="120" w:after="0"/>
        <w:jc w:val="both"/>
        <w:rPr>
          <w:b/>
          <w:bCs/>
          <w:i/>
          <w:i/>
        </w:rPr>
      </w:pPr>
      <w:r>
        <w:rPr>
          <w:b/>
          <w:bCs/>
          <w:i/>
          <w:iCs/>
        </w:rPr>
        <w:t>Termination</w:t>
      </w:r>
      <w:r>
        <w:rPr>
          <w:b/>
          <w:bCs/>
        </w:rPr>
        <w:t xml:space="preserve"> </w:t>
      </w:r>
      <w:r>
        <w:rPr>
          <w:b/>
          <w:bCs/>
          <w:i/>
        </w:rPr>
        <w:t>of Parties' Obligations</w:t>
      </w:r>
    </w:p>
    <w:p>
      <w:pPr>
        <w:pStyle w:val="BodyTextIndent2"/>
        <w:tabs>
          <w:tab w:val="left" w:pos="720" w:leader="none"/>
          <w:tab w:val="left" w:pos="1440" w:leader="none"/>
          <w:tab w:val="right" w:pos="8405" w:leader="none"/>
        </w:tabs>
        <w:spacing w:before="120" w:after="0"/>
        <w:rPr/>
      </w:pPr>
      <w:r>
        <w:rPr>
          <w:sz w:val="20"/>
        </w:rPr>
        <w:t>3.1.</w:t>
        <w:tab/>
      </w:r>
      <w:r>
        <w:rPr>
          <w:i/>
          <w:iCs/>
          <w:sz w:val="20"/>
          <w:u w:val="single"/>
        </w:rPr>
        <w:t xml:space="preserve">Termination of Obligations.  </w:t>
      </w:r>
      <w:r>
        <w:rPr>
          <w:sz w:val="20"/>
        </w:rPr>
        <w:t>On the effective date of the assignment of the Contract to HPL (as provided in Section 3.2 below), this Agreement shall automatically terminate; provided such termination shall not release either party from any breach or default hereunder with respect to the Contract occurring prior to its assignment, or for any payments due to either party for its performance of the Contract prior to its assignment.</w:t>
      </w:r>
    </w:p>
    <w:p>
      <w:pPr>
        <w:pStyle w:val="BodyTextIndent2"/>
        <w:tabs>
          <w:tab w:val="clear" w:pos="720"/>
          <w:tab w:val="left" w:pos="1440" w:leader="none"/>
          <w:tab w:val="right" w:pos="8405" w:leader="none"/>
        </w:tabs>
        <w:spacing w:before="120" w:after="0"/>
        <w:rPr/>
      </w:pPr>
      <w:r>
        <w:rPr>
          <w:sz w:val="20"/>
        </w:rPr>
        <w:t>3.2.</w:t>
        <w:tab/>
      </w:r>
      <w:r>
        <w:rPr>
          <w:i/>
          <w:iCs/>
          <w:sz w:val="20"/>
          <w:u w:val="single"/>
        </w:rPr>
        <w:t>Assignment of Contract to HPL</w:t>
      </w:r>
      <w:r>
        <w:rPr>
          <w:i/>
          <w:iCs/>
          <w:sz w:val="20"/>
        </w:rPr>
        <w:t>.</w:t>
      </w:r>
      <w:r>
        <w:rPr>
          <w:sz w:val="20"/>
        </w:rPr>
        <w:t xml:space="preserve">  ENA and HPL agree to work cooperatively and use all commercially reasonable efforts to promptly assign the Contract to HPL in accordance with the terms of such Contract, and to obtain appropriate consent from GPP so that ENA and any ENA Guarantor will be released of all further liabilities and obligations under the Contract and any related guarantees (an “Assignment”).  Any such Assignment shall include all modifications necessary to reflect the substitution of HPL for ENA under the Contract.  It is intended by the Parties that such Assignment preserve the economic benefit and other rights of the Contract to HPL without increasing HPL’s obligations under the Contract beyond those held by ENA prior to the Assignment.  ENA and HPL agree to execute all agreements and documents reasonably required by the other in order to effect such Assignment.</w:t>
      </w:r>
    </w:p>
    <w:p>
      <w:pPr>
        <w:pStyle w:val="Normal"/>
        <w:numPr>
          <w:ilvl w:val="0"/>
          <w:numId w:val="2"/>
        </w:numPr>
        <w:spacing w:before="120" w:after="0"/>
        <w:jc w:val="both"/>
        <w:rPr>
          <w:b/>
          <w:bCs/>
          <w:i/>
          <w:i/>
        </w:rPr>
      </w:pPr>
      <w:r>
        <w:rPr>
          <w:b/>
          <w:bCs/>
          <w:i/>
        </w:rPr>
        <w:t>Miscellaneous Provisions</w:t>
      </w:r>
    </w:p>
    <w:p>
      <w:pPr>
        <w:pStyle w:val="Normal"/>
        <w:numPr>
          <w:ilvl w:val="1"/>
          <w:numId w:val="2"/>
        </w:numPr>
        <w:tabs>
          <w:tab w:val="left" w:pos="720" w:leader="none"/>
        </w:tabs>
        <w:spacing w:before="120" w:after="0"/>
        <w:ind w:hanging="0" w:start="720" w:end="0"/>
        <w:jc w:val="both"/>
        <w:rPr>
          <w:rFonts w:ascii="Garamond" w:hAnsi="Garamond" w:cs="Garamond"/>
        </w:rPr>
      </w:pPr>
      <w:r>
        <w:rPr>
          <w:i/>
          <w:iCs/>
          <w:u w:val="single"/>
        </w:rPr>
        <w:t>Assignment</w:t>
      </w:r>
      <w:r>
        <w:rPr/>
        <w:t xml:space="preserve">. This Agreement shall be binding upon and inure to the benefit of the parties hereto and their respective successors and permitted assigns, but neither this Agreement nor any of the rights, interests or obligations hereunder shall be assigned by any party hereto, without the prior written consent of the other </w:t>
      </w:r>
      <w:r>
        <w:rPr>
          <w:rFonts w:cs="Garamond" w:ascii="Garamond" w:hAnsi="Garamond"/>
        </w:rPr>
        <w:t>party.</w:t>
      </w:r>
    </w:p>
    <w:p>
      <w:pPr>
        <w:pStyle w:val="Normal"/>
        <w:numPr>
          <w:ilvl w:val="1"/>
          <w:numId w:val="2"/>
        </w:numPr>
        <w:tabs>
          <w:tab w:val="left" w:pos="720" w:leader="none"/>
        </w:tabs>
        <w:spacing w:before="120" w:after="0"/>
        <w:ind w:hanging="0" w:start="720" w:end="0"/>
        <w:jc w:val="both"/>
        <w:rPr/>
      </w:pPr>
      <w:r>
        <w:rPr>
          <w:i/>
          <w:u w:val="single"/>
        </w:rPr>
        <w:t>GOVERNING LAW</w:t>
      </w:r>
      <w:r>
        <w:rPr>
          <w:i/>
        </w:rPr>
        <w:t xml:space="preserve">. </w:t>
      </w:r>
      <w:r>
        <w:rPr>
          <w:b/>
          <w:bCs/>
          <w:iCs/>
        </w:rPr>
        <w:t xml:space="preserve">THE </w:t>
      </w:r>
      <w:r>
        <w:rPr>
          <w:b/>
        </w:rPr>
        <w:t>INTERPRETATION AND PERFORMANCE OF THIS AGREEMENT SHALL BE ACCORDING TO AND CONTROLLED BY THE LAWS OF THE STATE OF TEXAS WITHOUT GIVING EFFECT TO ANY PRINCIPLES OF CONFLICTS OF LAW.</w:t>
      </w:r>
    </w:p>
    <w:p>
      <w:pPr>
        <w:pStyle w:val="BodyTextIndent"/>
        <w:spacing w:before="120" w:after="0"/>
        <w:ind w:firstLine="720" w:start="0" w:end="0"/>
        <w:jc w:val="both"/>
        <w:rPr/>
      </w:pPr>
      <w:r>
        <w:rPr/>
        <w:t>IN WITNESS WHEREOF, the parties have caused their duly authorized representatives to execute this Agreement on their behalf as of the date first above written.</w:t>
      </w:r>
    </w:p>
    <w:p>
      <w:pPr>
        <w:pStyle w:val="Normal"/>
        <w:jc w:val="both"/>
        <w:rPr/>
      </w:pPr>
      <w:r>
        <w:rPr/>
      </w:r>
    </w:p>
    <w:p>
      <w:pPr>
        <w:pStyle w:val="Normal"/>
        <w:tabs>
          <w:tab w:val="clear" w:pos="720"/>
          <w:tab w:val="right" w:pos="8526" w:leader="none"/>
        </w:tabs>
        <w:ind w:start="4154" w:end="0"/>
        <w:jc w:val="both"/>
        <w:rPr/>
      </w:pPr>
      <w:r>
        <w:rPr/>
        <w:t>ENRON NORTH AMERICA CORP.</w:t>
      </w:r>
    </w:p>
    <w:p>
      <w:pPr>
        <w:pStyle w:val="Normal"/>
        <w:tabs>
          <w:tab w:val="clear" w:pos="720"/>
          <w:tab w:val="right" w:pos="8526" w:leader="none"/>
        </w:tabs>
        <w:ind w:start="4154" w:end="0"/>
        <w:jc w:val="both"/>
        <w:rPr/>
      </w:pPr>
      <w:r>
        <w:rPr/>
      </w:r>
    </w:p>
    <w:p>
      <w:pPr>
        <w:pStyle w:val="Normal"/>
        <w:tabs>
          <w:tab w:val="clear" w:pos="720"/>
          <w:tab w:val="right" w:pos="8526" w:leader="none"/>
        </w:tabs>
        <w:ind w:start="4154" w:end="0"/>
        <w:jc w:val="both"/>
        <w:rPr/>
      </w:pPr>
      <w:r>
        <w:rPr/>
      </w:r>
    </w:p>
    <w:p>
      <w:pPr>
        <w:pStyle w:val="Normal"/>
        <w:tabs>
          <w:tab w:val="clear" w:pos="720"/>
          <w:tab w:val="right" w:pos="8526" w:leader="none"/>
        </w:tabs>
        <w:ind w:start="4154" w:end="0"/>
        <w:jc w:val="both"/>
        <w:rPr/>
      </w:pPr>
      <w:r>
        <w:rPr/>
        <w:t>By: ________________________________</w:t>
      </w:r>
    </w:p>
    <w:p>
      <w:pPr>
        <w:pStyle w:val="Normal"/>
        <w:tabs>
          <w:tab w:val="clear" w:pos="720"/>
          <w:tab w:val="right" w:pos="8526" w:leader="none"/>
        </w:tabs>
        <w:ind w:start="4154" w:end="0"/>
        <w:jc w:val="both"/>
        <w:rPr/>
      </w:pPr>
      <w:r>
        <w:rPr/>
      </w:r>
    </w:p>
    <w:p>
      <w:pPr>
        <w:pStyle w:val="Normal"/>
        <w:tabs>
          <w:tab w:val="clear" w:pos="720"/>
          <w:tab w:val="right" w:pos="8526" w:leader="none"/>
        </w:tabs>
        <w:ind w:start="4154" w:end="0"/>
        <w:jc w:val="both"/>
        <w:rPr/>
      </w:pPr>
      <w:r>
        <w:rPr/>
      </w:r>
    </w:p>
    <w:p>
      <w:pPr>
        <w:pStyle w:val="Normal"/>
        <w:tabs>
          <w:tab w:val="clear" w:pos="720"/>
          <w:tab w:val="right" w:pos="8526" w:leader="none"/>
        </w:tabs>
        <w:ind w:start="4154" w:end="0"/>
        <w:jc w:val="both"/>
        <w:rPr/>
      </w:pPr>
      <w:r>
        <w:rPr/>
        <w:t>HOUSTON PIPE LINE COMPANY</w:t>
      </w:r>
    </w:p>
    <w:p>
      <w:pPr>
        <w:pStyle w:val="Normal"/>
        <w:tabs>
          <w:tab w:val="clear" w:pos="720"/>
          <w:tab w:val="left" w:pos="4140" w:leader="none"/>
        </w:tabs>
        <w:jc w:val="both"/>
        <w:rPr/>
      </w:pPr>
      <w:r>
        <w:rPr/>
        <w:tab/>
      </w:r>
    </w:p>
    <w:p>
      <w:pPr>
        <w:pStyle w:val="Normal"/>
        <w:tabs>
          <w:tab w:val="clear" w:pos="720"/>
          <w:tab w:val="left" w:pos="4140" w:leader="none"/>
        </w:tabs>
        <w:jc w:val="both"/>
        <w:rPr/>
      </w:pPr>
      <w:r>
        <w:rPr/>
        <w:tab/>
      </w:r>
    </w:p>
    <w:p>
      <w:pPr>
        <w:pStyle w:val="Normal"/>
        <w:ind w:start="4141" w:end="0"/>
        <w:jc w:val="both"/>
        <w:rPr/>
      </w:pPr>
      <w:r>
        <w:rPr/>
        <w:t>By:_________________________________</w:t>
      </w:r>
    </w:p>
    <w:p>
      <w:pPr>
        <w:pStyle w:val="Normal"/>
        <w:tabs>
          <w:tab w:val="clear" w:pos="720"/>
          <w:tab w:val="right" w:pos="8526" w:leader="none"/>
        </w:tabs>
        <w:ind w:start="4154" w:end="0"/>
        <w:jc w:val="both"/>
        <w:rPr/>
      </w:pPr>
      <w:r>
        <w:rPr/>
      </w:r>
    </w:p>
    <w:sectPr>
      <w:footerReference w:type="default" r:id="rId2"/>
      <w:footerReference w:type="first" r:id="rId3"/>
      <w:type w:val="nextPage"/>
      <w:pgSz w:w="12240" w:h="15840"/>
      <w:pgMar w:left="1440" w:right="1440" w:gutter="0" w:header="0" w:top="108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/mnt/main-storage/datasets/enron-docs/doc/2001_010misc.doc</w:t>
    </w:r>
    <w:r>
      <w:rPr>
        <w:sz w:val="16"/>
      </w:rPr>
      <w:fldChar w:fldCharType="end"/>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ind w:end="360"/>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/mnt/main-storage/datasets/enron-docs/doc/2001_010misc.doc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lowerLetter"/>
      <w:lvlText w:val="%3."/>
      <w:lvlJc w:val="start"/>
      <w:pPr>
        <w:tabs>
          <w:tab w:val="num" w:pos="2160"/>
        </w:tabs>
        <w:ind w:start="2160" w:hanging="720"/>
      </w:pPr>
      <w:rPr/>
    </w:lvl>
    <w:lvl w:ilvl="3">
      <w:start w:val="1"/>
      <w:numFmt w:val="decimal"/>
      <w:lvlText w:val="%1.%2.%3.%4."/>
      <w:lvlJc w:val="start"/>
      <w:pPr>
        <w:tabs>
          <w:tab w:val="num" w:pos="1728"/>
        </w:tabs>
        <w:ind w:start="1728" w:hanging="648"/>
      </w:pPr>
      <w:rPr/>
    </w:lvl>
    <w:lvl w:ilvl="4">
      <w:start w:val="1"/>
      <w:numFmt w:val="decimal"/>
      <w:lvlText w:val="%1.%2.%3.%4.%5."/>
      <w:lvlJc w:val="start"/>
      <w:pPr>
        <w:tabs>
          <w:tab w:val="num" w:pos="2232"/>
        </w:tabs>
        <w:ind w:start="2232" w:hanging="792"/>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320"/>
        </w:tabs>
        <w:ind w:start="4320" w:hanging="144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paragraph" w:styleId="Heading2">
    <w:name w:val="heading 2"/>
    <w:basedOn w:val="Normal"/>
    <w:next w:val="Normal"/>
    <w:qFormat/>
    <w:pPr>
      <w:keepNext w:val="true"/>
      <w:numPr>
        <w:ilvl w:val="1"/>
        <w:numId w:val="1"/>
      </w:numPr>
      <w:jc w:val="center"/>
      <w:outlineLvl w:val="1"/>
    </w:pPr>
    <w:rPr>
      <w:b/>
      <w:bCs/>
      <w:sz w:val="22"/>
      <w:u w:val="single"/>
    </w:rPr>
  </w:style>
  <w:style w:type="paragraph" w:styleId="Heading3">
    <w:name w:val="heading 3"/>
    <w:basedOn w:val="Normal"/>
    <w:next w:val="Normal"/>
    <w:qFormat/>
    <w:pPr>
      <w:keepNext w:val="true"/>
      <w:numPr>
        <w:ilvl w:val="2"/>
        <w:numId w:val="1"/>
      </w:numPr>
      <w:jc w:val="both"/>
      <w:outlineLvl w:val="2"/>
    </w:pPr>
    <w:rPr>
      <w:b/>
      <w:bCs/>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i w:val="false"/>
      <w:sz w:val="20"/>
      <w:u w:val="none"/>
    </w:rPr>
  </w:style>
  <w:style w:type="character" w:styleId="WW8Num7z0">
    <w:name w:val="WW8Num7z0"/>
    <w:qFormat/>
    <w:rPr/>
  </w:style>
  <w:style w:type="character" w:styleId="WW8Num7z1">
    <w:name w:val="WW8Num7z1"/>
    <w:qFormat/>
    <w:rPr>
      <w:b w:val="false"/>
    </w:rPr>
  </w:style>
  <w:style w:type="character" w:styleId="WW8Num8z0">
    <w:name w:val="WW8Num8z0"/>
    <w:qFormat/>
    <w:rPr/>
  </w:style>
  <w:style w:type="character" w:styleId="WW8Num9z0">
    <w:name w:val="WW8Num9z0"/>
    <w:qFormat/>
    <w:rPr>
      <w:b w:val="false"/>
      <w:i w:val="false"/>
    </w:rPr>
  </w:style>
  <w:style w:type="character" w:styleId="WW8Num10z0">
    <w:name w:val="WW8Num10z0"/>
    <w:qFormat/>
    <w:rPr/>
  </w:style>
  <w:style w:type="character" w:styleId="WW8Num11z0">
    <w:name w:val="WW8Num11z0"/>
    <w:qFormat/>
    <w:rPr>
      <w:u w:val="none"/>
    </w:rPr>
  </w:style>
  <w:style w:type="character" w:styleId="WW8Num12z0">
    <w:name w:val="WW8Num12z0"/>
    <w:qFormat/>
    <w:rPr/>
  </w:style>
  <w:style w:type="character" w:styleId="WW8Num13z0">
    <w:name w:val="WW8Num13z0"/>
    <w:qFormat/>
    <w:rPr/>
  </w:style>
  <w:style w:type="character" w:styleId="WW8Num14z0">
    <w:name w:val="WW8Num14z0"/>
    <w:qFormat/>
    <w:rPr>
      <w:u w:val="none"/>
    </w:rPr>
  </w:style>
  <w:style w:type="character" w:styleId="WW8Num15z0">
    <w:name w:val="WW8Num15z0"/>
    <w:qFormat/>
    <w:rPr/>
  </w:style>
  <w:style w:type="character" w:styleId="WW8Num16z0">
    <w:name w:val="WW8Num16z0"/>
    <w:qFormat/>
    <w:rPr>
      <w:sz w:val="21"/>
    </w:rPr>
  </w:style>
  <w:style w:type="character" w:styleId="WW8Num17z0">
    <w:name w:val="WW8Num17z0"/>
    <w:qFormat/>
    <w:rPr>
      <w:rFonts w:ascii="Garamond" w:hAnsi="Garamond" w:cs="Garamond"/>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left" w:pos="614" w:leader="none"/>
        <w:tab w:val="right" w:pos="3880" w:leader="none"/>
      </w:tabs>
      <w:jc w:val="center"/>
    </w:pPr>
    <w:rPr>
      <w:b/>
      <w:bCs/>
      <w:iCs/>
      <w:sz w:val="21"/>
    </w:rPr>
  </w:style>
  <w:style w:type="paragraph" w:styleId="BodyText">
    <w:name w:val="Body Text"/>
    <w:basedOn w:val="Normal"/>
    <w:pPr>
      <w:tabs>
        <w:tab w:val="clear" w:pos="720"/>
        <w:tab w:val="left" w:pos="614" w:leader="none"/>
        <w:tab w:val="right" w:pos="3880" w:leader="none"/>
      </w:tabs>
      <w:jc w:val="both"/>
    </w:pPr>
    <w:rPr>
      <w:iCs/>
      <w:sz w:val="21"/>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right" w:pos="5971" w:leader="none"/>
      </w:tabs>
      <w:ind w:hanging="0" w:start="10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tabs>
        <w:tab w:val="left" w:pos="720" w:leader="none"/>
        <w:tab w:val="right" w:pos="8405" w:leader="none"/>
      </w:tabs>
      <w:ind w:hanging="0" w:start="720" w:end="0"/>
      <w:jc w:val="both"/>
    </w:pPr>
    <w:rPr>
      <w:sz w:val="22"/>
    </w:rPr>
  </w:style>
  <w:style w:type="paragraph" w:styleId="BodyTextIndent3">
    <w:name w:val="Body Text Indent 3"/>
    <w:basedOn w:val="Normal"/>
    <w:qFormat/>
    <w:pPr>
      <w:ind w:firstLine="720" w:start="0" w:end="0"/>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2001-06-08T13:48:00Z</dcterms:created>
  <dc:creator>dhyvl</dc:creator>
  <dc:description/>
  <dc:language>en-CA</dc:language>
  <cp:lastModifiedBy>dhyvl</cp:lastModifiedBy>
  <cp:lastPrinted>2001-06-08T13:15:00Z</cp:lastPrinted>
  <dcterms:modified xsi:type="dcterms:W3CDTF">2001-06-08T15:55:00Z</dcterms:modified>
  <cp:revision>6</cp:revision>
  <dc:subject/>
  <dc:title>BACK-TO-BACK AGREEMENT</dc:title>
</cp:coreProperties>
</file>