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22,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20" w:type="dxa"/>
        <w:jc w:val="start"/>
        <w:tblInd w:w="0" w:type="dxa"/>
        <w:tblLayout w:type="fixed"/>
        <w:tblCellMar>
          <w:top w:w="0" w:type="dxa"/>
          <w:start w:w="108" w:type="dxa"/>
          <w:bottom w:w="0" w:type="dxa"/>
          <w:end w:w="108" w:type="dxa"/>
        </w:tblCellMar>
      </w:tblPr>
      <w:tblGrid>
        <w:gridCol w:w="3168"/>
        <w:gridCol w:w="6552"/>
      </w:tblGrid>
      <w:tr>
        <w:trPr/>
        <w:tc>
          <w:tcPr>
            <w:tcW w:w="3168" w:type="dxa"/>
            <w:tcBorders/>
          </w:tcPr>
          <w:p>
            <w:pPr>
              <w:pStyle w:val="Normal"/>
              <w:rPr>
                <w:b/>
              </w:rPr>
            </w:pPr>
            <w:r>
              <w:rPr>
                <w:b/>
              </w:rPr>
              <w:t>Quantity (DCQ):</w:t>
            </w:r>
          </w:p>
        </w:tc>
        <w:tc>
          <w:tcPr>
            <w:tcW w:w="6552" w:type="dxa"/>
            <w:tcBorders/>
          </w:tcPr>
          <w:p>
            <w:pPr>
              <w:pStyle w:val="Normal"/>
              <w:ind w:start="-108" w:end="-144"/>
              <w:rPr/>
            </w:pPr>
            <w:r>
              <w:rPr/>
              <w:t>30,000 MMBtu/Day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El Paso Permian Pool.</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Keystone Pool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BodyText"/>
              <w:numPr>
                <w:ilvl w:val="0"/>
                <w:numId w:val="1"/>
              </w:numPr>
              <w:ind w:hanging="360" w:start="270" w:end="144"/>
              <w:rPr/>
            </w:pPr>
            <w:r>
              <w:rPr/>
              <w:t>100% of the DCQ shall be nominated on Cycles 1 and 2 each day during the Period of Delivery.</w:t>
            </w:r>
          </w:p>
          <w:p>
            <w:pPr>
              <w:pStyle w:val="BodyText"/>
              <w:numPr>
                <w:ilvl w:val="0"/>
                <w:numId w:val="1"/>
              </w:numPr>
              <w:ind w:hanging="360" w:start="27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316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316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w:t>
      </w:r>
      <w:r>
        <w:rPr>
          <w:rFonts w:cs="Arial Narrow" w:ascii="Arial Narrow" w:hAnsi="Arial Narrow"/>
          <w:bCs/>
          <w:sz w:val="18"/>
        </w:rPr>
        <w:t xml:space="preserve">Failure to provide such letter of credit or other collateral shall constitute a Triggering Event hereunder giving rise to the immediate right of termination by the other party under this Firm GTC.  The collateral threshold amount shall be determined based on the Stamdard &amp; Poor’s Corporation rating of a party’s </w:t>
      </w:r>
      <w:r>
        <w:rPr>
          <w:rFonts w:cs="Arial Narrow" w:ascii="Arial Narrow" w:hAnsi="Arial Narrow"/>
          <w:sz w:val="18"/>
        </w:rPr>
        <w:t>long-term debt unsupported by third party credit enhancement</w:t>
      </w:r>
      <w:r>
        <w:rPr>
          <w:rFonts w:cs="Arial Narrow" w:ascii="Arial Narrow" w:hAnsi="Arial Narrow"/>
          <w:bCs/>
          <w:sz w:val="18"/>
        </w:rPr>
        <w:t>.  Such rating shall be based on Enron Corp. as to Company and El Paso Electric Company as to Customer:</w:t>
      </w:r>
    </w:p>
    <w:p>
      <w:pPr>
        <w:pStyle w:val="Normal"/>
        <w:jc w:val="both"/>
        <w:rPr>
          <w:rFonts w:ascii="Arial Narrow" w:hAnsi="Arial Narrow" w:cs="Arial Narrow"/>
          <w:bCs/>
          <w:sz w:val="18"/>
        </w:rPr>
      </w:pPr>
      <w:r>
        <w:rPr>
          <w:rFonts w:cs="Arial Narrow" w:ascii="Arial Narrow" w:hAnsi="Arial Narrow"/>
          <w:bCs/>
          <w:sz w:val="18"/>
        </w:rPr>
        <w:tab/>
      </w:r>
      <w:r>
        <w:rPr>
          <w:rFonts w:cs="Arial Narrow" w:ascii="Arial Narrow" w:hAnsi="Arial Narrow"/>
          <w:bCs/>
          <w:sz w:val="18"/>
          <w:u w:val="single"/>
        </w:rPr>
        <w:t>Rating</w:t>
      </w:r>
      <w:r>
        <w:rPr>
          <w:rFonts w:cs="Arial Narrow" w:ascii="Arial Narrow" w:hAnsi="Arial Narrow"/>
          <w:bCs/>
          <w:sz w:val="18"/>
        </w:rPr>
        <w:tab/>
        <w:tab/>
      </w:r>
      <w:r>
        <w:rPr>
          <w:rFonts w:cs="Arial Narrow" w:ascii="Arial Narrow" w:hAnsi="Arial Narrow"/>
          <w:bCs/>
          <w:sz w:val="18"/>
          <w:u w:val="single"/>
        </w:rPr>
        <w:t>Cottateral Threshold Amount</w:t>
      </w:r>
    </w:p>
    <w:p>
      <w:pPr>
        <w:pStyle w:val="Normal"/>
        <w:jc w:val="both"/>
        <w:rPr>
          <w:rFonts w:ascii="Arial Narrow" w:hAnsi="Arial Narrow" w:cs="Arial Narrow"/>
          <w:bCs/>
          <w:sz w:val="18"/>
        </w:rPr>
      </w:pPr>
      <w:r>
        <w:rPr>
          <w:rFonts w:cs="Arial Narrow" w:ascii="Arial Narrow" w:hAnsi="Arial Narrow"/>
          <w:bCs/>
          <w:sz w:val="18"/>
        </w:rPr>
        <w:tab/>
        <w:t>BBB- or above</w:t>
        <w:tab/>
        <w:t>non applicable</w:t>
      </w:r>
    </w:p>
    <w:p>
      <w:pPr>
        <w:pStyle w:val="Normal"/>
        <w:jc w:val="both"/>
        <w:rPr>
          <w:rFonts w:ascii="Arial Narrow" w:hAnsi="Arial Narrow" w:cs="Arial Narrow"/>
          <w:bCs/>
          <w:sz w:val="18"/>
        </w:rPr>
      </w:pPr>
      <w:r>
        <w:rPr>
          <w:rFonts w:cs="Arial Narrow" w:ascii="Arial Narrow" w:hAnsi="Arial Narrow"/>
          <w:bCs/>
          <w:sz w:val="18"/>
        </w:rPr>
        <w:tab/>
        <w:t>BB+</w:t>
        <w:tab/>
        <w:tab/>
        <w:t>$10,000,000</w:t>
      </w:r>
    </w:p>
    <w:p>
      <w:pPr>
        <w:pStyle w:val="Normal"/>
        <w:jc w:val="both"/>
        <w:rPr>
          <w:rFonts w:ascii="Arial Narrow" w:hAnsi="Arial Narrow" w:cs="Arial Narrow"/>
          <w:bCs/>
          <w:sz w:val="18"/>
        </w:rPr>
      </w:pPr>
      <w:r>
        <w:rPr>
          <w:rFonts w:cs="Arial Narrow" w:ascii="Arial Narrow" w:hAnsi="Arial Narrow"/>
          <w:bCs/>
          <w:sz w:val="18"/>
        </w:rPr>
        <w:tab/>
        <w:t>BB</w:t>
        <w:tab/>
        <w:tab/>
        <w:t>$5,000,000</w:t>
      </w:r>
    </w:p>
    <w:p>
      <w:pPr>
        <w:pStyle w:val="Normal"/>
        <w:jc w:val="both"/>
        <w:rPr>
          <w:rFonts w:ascii="Arial Narrow" w:hAnsi="Arial Narrow" w:cs="Arial Narrow"/>
          <w:bCs/>
          <w:sz w:val="18"/>
        </w:rPr>
      </w:pPr>
      <w:r>
        <w:rPr>
          <w:rFonts w:cs="Arial Narrow" w:ascii="Arial Narrow" w:hAnsi="Arial Narrow"/>
          <w:bCs/>
          <w:sz w:val="18"/>
        </w:rPr>
        <w:tab/>
        <w:t>BB- or below</w:t>
        <w:tab/>
        <w:t xml:space="preserve">$0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/mnt/main-storage/datasets/enron-docs/doc/2001_010crfm-71ebbb734635da8b4d412a3354a895ac8a443467913aec5b4be2d1f73b27bc6c.doc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/mnt/main-storage/datasets/enron-docs/doc/2001_010crfm-71ebbb734635da8b4d412a3354a895ac8a443467913aec5b4be2d1f73b27bc6c.doc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4917223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70"/>
        </w:tabs>
        <w:ind w:start="27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2001-01-18T18:23:00Z</dcterms:created>
  <dc:creator>Daniel J. Hyvl</dc:creator>
  <dc:description/>
  <dc:language>en-CA</dc:language>
  <cp:lastModifiedBy>dhyvl</cp:lastModifiedBy>
  <cp:lastPrinted>2001-01-22T11:57:00Z</cp:lastPrinted>
  <dcterms:modified xsi:type="dcterms:W3CDTF">2001-01-22T15:27:00Z</dcterms:modified>
  <cp:revision>9</cp:revision>
  <dc:subject/>
  <dc:title>November 5, 1999</dc:title>
</cp:coreProperties>
</file>